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8"/>
          <w:szCs w:val="48"/>
        </w:rPr>
      </w:pPr>
      <w:bookmarkStart w:id="0" w:name="_Hlk519756150"/>
      <w:r>
        <w:rPr>
          <w:rFonts w:hint="eastAsia" w:ascii="宋体" w:hAnsi="宋体"/>
          <w:b/>
          <w:bCs w:val="0"/>
          <w:sz w:val="48"/>
          <w:szCs w:val="48"/>
          <w:lang w:val="en-US" w:eastAsia="zh-CN"/>
        </w:rPr>
        <w:t>阜南县建筑工程质量建筑材料检测中心新增设备项目</w:t>
      </w:r>
    </w:p>
    <w:p>
      <w:pPr>
        <w:pStyle w:val="15"/>
        <w:ind w:left="0" w:leftChars="0" w:firstLine="0" w:firstLineChars="0"/>
        <w:rPr>
          <w:rFonts w:hint="eastAsia" w:ascii="宋体" w:hAnsi="宋体"/>
          <w:b/>
          <w:sz w:val="52"/>
          <w:szCs w:val="52"/>
        </w:rPr>
      </w:pPr>
    </w:p>
    <w:p>
      <w:pPr>
        <w:pStyle w:val="15"/>
        <w:ind w:left="0" w:leftChars="0" w:firstLine="0" w:firstLineChars="0"/>
        <w:rPr>
          <w:rFonts w:hint="eastAsia" w:ascii="宋体" w:hAnsi="宋体"/>
          <w:b/>
          <w:sz w:val="52"/>
          <w:szCs w:val="52"/>
        </w:rPr>
      </w:pPr>
    </w:p>
    <w:p>
      <w:pPr>
        <w:jc w:val="center"/>
        <w:rPr>
          <w:rFonts w:hint="eastAsia" w:ascii="宋体" w:hAnsi="宋体"/>
          <w:b/>
          <w:bCs w:val="0"/>
          <w:sz w:val="48"/>
          <w:szCs w:val="48"/>
          <w:lang w:val="en-US" w:eastAsia="zh-CN"/>
        </w:rPr>
      </w:pPr>
      <w:r>
        <w:rPr>
          <w:rFonts w:hint="eastAsia" w:ascii="宋体" w:hAnsi="宋体"/>
          <w:b/>
          <w:bCs w:val="0"/>
          <w:sz w:val="48"/>
          <w:szCs w:val="48"/>
          <w:lang w:val="en-US" w:eastAsia="zh-CN"/>
        </w:rPr>
        <w:t>竞争性谈判文件</w:t>
      </w:r>
    </w:p>
    <w:p>
      <w:pPr>
        <w:jc w:val="cente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项目编号：FNZJ-ZQ2024011</w:t>
      </w:r>
    </w:p>
    <w:p>
      <w:pPr>
        <w:rPr>
          <w:rFonts w:ascii="宋体" w:hAnsi="宋体"/>
          <w:b/>
          <w:bCs w:val="0"/>
          <w:sz w:val="32"/>
          <w:szCs w:val="32"/>
        </w:rPr>
      </w:pPr>
    </w:p>
    <w:p>
      <w:pPr>
        <w:rPr>
          <w:rFonts w:ascii="宋体" w:hAnsi="宋体"/>
          <w:b/>
          <w:bCs w:val="0"/>
          <w:sz w:val="32"/>
          <w:szCs w:val="32"/>
        </w:rPr>
      </w:pPr>
    </w:p>
    <w:p>
      <w:pPr>
        <w:pStyle w:val="15"/>
        <w:rPr>
          <w:rFonts w:ascii="宋体" w:hAnsi="宋体"/>
          <w:b/>
          <w:bCs w:val="0"/>
          <w:sz w:val="32"/>
          <w:szCs w:val="32"/>
        </w:rPr>
      </w:pPr>
    </w:p>
    <w:p>
      <w:pPr>
        <w:pStyle w:val="15"/>
        <w:rPr>
          <w:rFonts w:ascii="宋体" w:hAnsi="宋体"/>
          <w:b/>
          <w:bCs w:val="0"/>
          <w:sz w:val="32"/>
          <w:szCs w:val="32"/>
        </w:rPr>
      </w:pPr>
    </w:p>
    <w:p>
      <w:pPr>
        <w:pStyle w:val="15"/>
        <w:ind w:left="0" w:leftChars="0" w:firstLine="0" w:firstLineChars="0"/>
        <w:rPr>
          <w:rFonts w:hint="default" w:ascii="宋体" w:hAnsi="宋体" w:eastAsia="宋?"/>
          <w:b/>
          <w:bCs w:val="0"/>
          <w:sz w:val="32"/>
          <w:szCs w:val="32"/>
          <w:lang w:val="en-US" w:eastAsia="zh-CN"/>
        </w:rPr>
      </w:pPr>
    </w:p>
    <w:p>
      <w:pPr>
        <w:pStyle w:val="15"/>
        <w:ind w:left="0" w:leftChars="0" w:firstLine="0" w:firstLineChars="0"/>
        <w:rPr>
          <w:rFonts w:ascii="宋体" w:hAnsi="宋体"/>
          <w:b/>
          <w:bCs w:val="0"/>
          <w:sz w:val="32"/>
          <w:szCs w:val="32"/>
        </w:rPr>
      </w:pPr>
    </w:p>
    <w:bookmarkEnd w:id="0"/>
    <w:p>
      <w:pPr>
        <w:jc w:val="center"/>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采   购  人：</w:t>
      </w:r>
      <w:r>
        <w:rPr>
          <w:rFonts w:hint="eastAsia" w:ascii="宋体" w:hAnsi="宋体" w:eastAsia="宋体" w:cs="Times New Roman"/>
          <w:b/>
          <w:color w:val="auto"/>
          <w:sz w:val="32"/>
          <w:szCs w:val="32"/>
          <w:highlight w:val="none"/>
          <w:u w:val="single"/>
          <w:lang w:eastAsia="zh-CN"/>
        </w:rPr>
        <w:t>阜南县建筑工程质量建筑材料检测中心</w:t>
      </w:r>
    </w:p>
    <w:p>
      <w:pPr>
        <w:jc w:val="center"/>
        <w:rPr>
          <w:rFonts w:ascii="宋体" w:hAnsi="宋体" w:eastAsia="宋体" w:cs="Times New Roman"/>
          <w:b/>
          <w:color w:val="auto"/>
          <w:sz w:val="32"/>
          <w:szCs w:val="32"/>
          <w:highlight w:val="none"/>
          <w:u w:val="single"/>
        </w:rPr>
      </w:pPr>
      <w:r>
        <w:rPr>
          <w:rFonts w:hint="eastAsia" w:ascii="宋体" w:hAnsi="宋体" w:eastAsia="宋体" w:cs="Times New Roman"/>
          <w:b/>
          <w:color w:val="auto"/>
          <w:sz w:val="32"/>
          <w:szCs w:val="32"/>
          <w:highlight w:val="none"/>
        </w:rPr>
        <w:t>采购代理机构：</w:t>
      </w:r>
      <w:r>
        <w:rPr>
          <w:rFonts w:hint="eastAsia" w:ascii="宋体" w:hAnsi="宋体" w:eastAsia="宋体" w:cs="Times New Roman"/>
          <w:b/>
          <w:color w:val="auto"/>
          <w:sz w:val="32"/>
          <w:szCs w:val="32"/>
          <w:highlight w:val="none"/>
          <w:u w:val="single"/>
          <w:lang w:eastAsia="zh-CN"/>
        </w:rPr>
        <w:t>阜南县奇卓咨询服务有限公司</w:t>
      </w:r>
    </w:p>
    <w:p>
      <w:pPr>
        <w:spacing w:line="440" w:lineRule="exact"/>
        <w:ind w:left="420" w:right="42" w:rightChars="20" w:firstLine="420"/>
        <w:jc w:val="center"/>
        <w:rPr>
          <w:rFonts w:ascii="宋体" w:hAnsi="宋体" w:eastAsia="宋体" w:cs="Times New Roman"/>
          <w:b/>
          <w:color w:val="auto"/>
          <w:sz w:val="32"/>
          <w:szCs w:val="32"/>
          <w:highlight w:val="none"/>
          <w:u w:val="single"/>
        </w:rPr>
      </w:pPr>
    </w:p>
    <w:p>
      <w:pPr>
        <w:rPr>
          <w:rFonts w:ascii="宋体" w:hAnsi="宋体" w:eastAsia="宋体" w:cs="Times New Roman"/>
          <w:b/>
          <w:color w:val="auto"/>
          <w:sz w:val="30"/>
          <w:szCs w:val="30"/>
          <w:highlight w:val="none"/>
        </w:rPr>
      </w:pPr>
    </w:p>
    <w:p>
      <w:pPr>
        <w:rPr>
          <w:rFonts w:ascii="宋体" w:hAnsi="宋体" w:eastAsia="宋体" w:cs="Times New Roman"/>
          <w:b/>
          <w:color w:val="auto"/>
          <w:sz w:val="30"/>
          <w:szCs w:val="30"/>
          <w:highlight w:val="none"/>
        </w:rPr>
      </w:pPr>
    </w:p>
    <w:p>
      <w:pPr>
        <w:spacing w:line="440" w:lineRule="exact"/>
        <w:ind w:right="42" w:rightChars="20"/>
        <w:jc w:val="center"/>
        <w:rPr>
          <w:rFonts w:ascii="宋体" w:hAnsi="宋体" w:eastAsia="宋体" w:cs="Arial"/>
          <w:b/>
          <w:color w:val="auto"/>
          <w:sz w:val="32"/>
          <w:szCs w:val="32"/>
          <w:highlight w:val="none"/>
        </w:rPr>
      </w:pPr>
    </w:p>
    <w:p>
      <w:pPr>
        <w:spacing w:line="440" w:lineRule="exact"/>
        <w:ind w:right="42" w:rightChars="20"/>
        <w:jc w:val="center"/>
        <w:rPr>
          <w:rFonts w:ascii="宋体" w:hAnsi="宋体" w:eastAsia="宋体" w:cs="Arial"/>
          <w:b/>
          <w:color w:val="auto"/>
          <w:sz w:val="32"/>
          <w:szCs w:val="32"/>
          <w:highlight w:val="none"/>
        </w:rPr>
      </w:pPr>
    </w:p>
    <w:p>
      <w:pPr>
        <w:spacing w:line="440" w:lineRule="exact"/>
        <w:ind w:right="42" w:rightChars="20"/>
        <w:jc w:val="center"/>
        <w:rPr>
          <w:rFonts w:ascii="宋体" w:hAnsi="宋体" w:eastAsia="宋体" w:cs="Arial"/>
          <w:b/>
          <w:color w:val="auto"/>
          <w:sz w:val="32"/>
          <w:szCs w:val="32"/>
          <w:highlight w:val="none"/>
        </w:rPr>
      </w:pPr>
      <w:r>
        <w:rPr>
          <w:rFonts w:ascii="宋体" w:hAnsi="宋体" w:eastAsia="宋体" w:cs="Arial"/>
          <w:b/>
          <w:color w:val="auto"/>
          <w:sz w:val="32"/>
          <w:szCs w:val="32"/>
          <w:highlight w:val="none"/>
        </w:rPr>
        <w:t>20</w:t>
      </w:r>
      <w:r>
        <w:rPr>
          <w:rFonts w:hint="eastAsia" w:ascii="宋体" w:hAnsi="宋体" w:eastAsia="宋体" w:cs="Arial"/>
          <w:b/>
          <w:color w:val="auto"/>
          <w:sz w:val="32"/>
          <w:szCs w:val="32"/>
          <w:highlight w:val="none"/>
        </w:rPr>
        <w:t>2</w:t>
      </w:r>
      <w:r>
        <w:rPr>
          <w:rFonts w:hint="eastAsia" w:ascii="宋体" w:hAnsi="宋体" w:eastAsia="宋体" w:cs="Arial"/>
          <w:b/>
          <w:color w:val="auto"/>
          <w:sz w:val="32"/>
          <w:szCs w:val="32"/>
          <w:highlight w:val="none"/>
          <w:lang w:val="en-US" w:eastAsia="zh-CN"/>
        </w:rPr>
        <w:t>4</w:t>
      </w:r>
      <w:r>
        <w:rPr>
          <w:rFonts w:hint="eastAsia" w:ascii="宋体" w:hAnsi="宋体" w:eastAsia="宋体" w:cs="Arial"/>
          <w:b/>
          <w:color w:val="auto"/>
          <w:sz w:val="32"/>
          <w:szCs w:val="32"/>
          <w:highlight w:val="none"/>
          <w:u w:val="none"/>
        </w:rPr>
        <w:t>年</w:t>
      </w:r>
      <w:r>
        <w:rPr>
          <w:rFonts w:hint="eastAsia" w:ascii="宋体" w:hAnsi="宋体" w:eastAsia="宋体" w:cs="Arial"/>
          <w:b/>
          <w:color w:val="auto"/>
          <w:sz w:val="32"/>
          <w:szCs w:val="32"/>
          <w:highlight w:val="none"/>
          <w:u w:val="none"/>
          <w:lang w:val="en-US" w:eastAsia="zh-CN"/>
        </w:rPr>
        <w:t>10</w:t>
      </w:r>
      <w:r>
        <w:rPr>
          <w:rFonts w:hint="eastAsia" w:ascii="宋体" w:hAnsi="宋体" w:eastAsia="宋体" w:cs="Arial"/>
          <w:b/>
          <w:color w:val="auto"/>
          <w:sz w:val="32"/>
          <w:szCs w:val="32"/>
          <w:highlight w:val="none"/>
        </w:rPr>
        <w:t>月</w:t>
      </w:r>
      <w:r>
        <w:rPr>
          <w:rFonts w:ascii="宋体" w:hAnsi="宋体" w:eastAsia="宋体" w:cs="Arial"/>
          <w:b/>
          <w:color w:val="auto"/>
          <w:sz w:val="32"/>
          <w:szCs w:val="32"/>
          <w:highlight w:val="none"/>
        </w:rPr>
        <w:t xml:space="preserve"> </w:t>
      </w:r>
    </w:p>
    <w:p>
      <w:pPr>
        <w:rPr>
          <w:rFonts w:hint="eastAsia"/>
          <w:lang w:eastAsia="zh-CN"/>
        </w:rPr>
      </w:pPr>
    </w:p>
    <w:p>
      <w:pPr>
        <w:rPr>
          <w:rFonts w:hint="eastAsia"/>
          <w:lang w:eastAsia="zh-CN"/>
        </w:rPr>
      </w:pPr>
    </w:p>
    <w:p>
      <w:pPr>
        <w:pStyle w:val="13"/>
        <w:tabs>
          <w:tab w:val="right" w:leader="dot" w:pos="8312"/>
          <w:tab w:val="clear" w:pos="8296"/>
        </w:tabs>
        <w:rPr>
          <w:rFonts w:hint="eastAsia"/>
          <w:b/>
          <w:bCs/>
          <w:sz w:val="32"/>
          <w:szCs w:val="32"/>
          <w:lang w:eastAsia="zh-CN"/>
        </w:rPr>
      </w:pPr>
      <w:r>
        <w:rPr>
          <w:rFonts w:hint="eastAsia"/>
          <w:b/>
          <w:bCs/>
          <w:sz w:val="32"/>
          <w:szCs w:val="32"/>
          <w:lang w:eastAsia="zh-CN"/>
        </w:rPr>
        <w:t>目</w:t>
      </w:r>
      <w:r>
        <w:rPr>
          <w:rFonts w:hint="eastAsia"/>
          <w:b/>
          <w:bCs/>
          <w:sz w:val="32"/>
          <w:szCs w:val="32"/>
          <w:lang w:val="en-US" w:eastAsia="zh-CN"/>
        </w:rPr>
        <w:t xml:space="preserve">   </w:t>
      </w:r>
      <w:r>
        <w:rPr>
          <w:rFonts w:hint="eastAsia"/>
          <w:b/>
          <w:bCs/>
          <w:sz w:val="32"/>
          <w:szCs w:val="32"/>
          <w:lang w:eastAsia="zh-CN"/>
        </w:rPr>
        <w:t>录</w:t>
      </w:r>
    </w:p>
    <w:p>
      <w:pPr>
        <w:rPr>
          <w:rFonts w:hint="eastAsia"/>
          <w:lang w:eastAsia="zh-CN"/>
        </w:rPr>
      </w:pPr>
    </w:p>
    <w:p>
      <w:pPr>
        <w:pStyle w:val="13"/>
        <w:tabs>
          <w:tab w:val="right" w:leader="dot" w:pos="8312"/>
          <w:tab w:val="clear" w:pos="8296"/>
        </w:tabs>
        <w:spacing w:line="360" w:lineRule="auto"/>
        <w:rPr>
          <w:sz w:val="24"/>
          <w:szCs w:val="24"/>
        </w:rPr>
      </w:pPr>
      <w:r>
        <w:rPr>
          <w:rFonts w:hint="eastAsia"/>
          <w:sz w:val="24"/>
          <w:szCs w:val="24"/>
        </w:rPr>
        <w:fldChar w:fldCharType="begin"/>
      </w:r>
      <w:r>
        <w:rPr>
          <w:rFonts w:hint="eastAsia"/>
          <w:sz w:val="24"/>
          <w:szCs w:val="24"/>
        </w:rPr>
        <w:instrText xml:space="preserve">TOC \o "1-3" \h \z \u </w:instrText>
      </w:r>
      <w:r>
        <w:rPr>
          <w:rFonts w:hint="eastAsia"/>
          <w:sz w:val="24"/>
          <w:szCs w:val="24"/>
        </w:rPr>
        <w:fldChar w:fldCharType="separate"/>
      </w:r>
      <w:r>
        <w:rPr>
          <w:rFonts w:hint="eastAsia"/>
          <w:sz w:val="24"/>
          <w:szCs w:val="24"/>
        </w:rPr>
        <w:fldChar w:fldCharType="begin"/>
      </w:r>
      <w:r>
        <w:rPr>
          <w:rFonts w:hint="eastAsia"/>
          <w:sz w:val="24"/>
          <w:szCs w:val="24"/>
        </w:rPr>
        <w:instrText xml:space="preserve"> HYPERLINK \l _Toc23758 </w:instrText>
      </w:r>
      <w:r>
        <w:rPr>
          <w:rFonts w:hint="eastAsia"/>
          <w:sz w:val="24"/>
          <w:szCs w:val="24"/>
        </w:rPr>
        <w:fldChar w:fldCharType="separate"/>
      </w:r>
      <w:r>
        <w:rPr>
          <w:rFonts w:hint="eastAsia"/>
          <w:sz w:val="24"/>
          <w:szCs w:val="24"/>
        </w:rPr>
        <w:t xml:space="preserve">第一章 </w:t>
      </w:r>
      <w:r>
        <w:rPr>
          <w:rFonts w:hint="eastAsia"/>
          <w:sz w:val="24"/>
          <w:szCs w:val="24"/>
          <w:lang w:val="en-US" w:eastAsia="zh-CN"/>
        </w:rPr>
        <w:t xml:space="preserve"> </w:t>
      </w:r>
      <w:r>
        <w:rPr>
          <w:rFonts w:hint="eastAsia"/>
          <w:sz w:val="24"/>
          <w:szCs w:val="24"/>
        </w:rPr>
        <w:t>竞争性谈判公告</w:t>
      </w:r>
      <w:r>
        <w:rPr>
          <w:sz w:val="24"/>
          <w:szCs w:val="24"/>
        </w:rPr>
        <w:tab/>
      </w:r>
      <w:r>
        <w:rPr>
          <w:sz w:val="24"/>
          <w:szCs w:val="24"/>
        </w:rPr>
        <w:fldChar w:fldCharType="begin"/>
      </w:r>
      <w:r>
        <w:rPr>
          <w:sz w:val="24"/>
          <w:szCs w:val="24"/>
        </w:rPr>
        <w:instrText xml:space="preserve"> PAGEREF _Toc23758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3"/>
        <w:tabs>
          <w:tab w:val="right" w:leader="dot" w:pos="8312"/>
          <w:tab w:val="clear" w:pos="8296"/>
        </w:tabs>
        <w:spacing w:line="360" w:lineRule="auto"/>
        <w:rPr>
          <w:sz w:val="24"/>
          <w:szCs w:val="24"/>
        </w:rPr>
      </w:pPr>
      <w:r>
        <w:rPr>
          <w:rFonts w:hint="eastAsia"/>
          <w:sz w:val="24"/>
          <w:szCs w:val="24"/>
        </w:rPr>
        <w:fldChar w:fldCharType="begin"/>
      </w:r>
      <w:r>
        <w:rPr>
          <w:rFonts w:hint="eastAsia"/>
          <w:sz w:val="24"/>
          <w:szCs w:val="24"/>
        </w:rPr>
        <w:instrText xml:space="preserve"> HYPERLINK \l _Toc25620 </w:instrText>
      </w:r>
      <w:r>
        <w:rPr>
          <w:rFonts w:hint="eastAsia"/>
          <w:sz w:val="24"/>
          <w:szCs w:val="24"/>
        </w:rPr>
        <w:fldChar w:fldCharType="separate"/>
      </w:r>
      <w:r>
        <w:rPr>
          <w:rFonts w:hint="eastAsia"/>
          <w:sz w:val="24"/>
          <w:szCs w:val="24"/>
          <w:lang w:eastAsia="zh-CN"/>
        </w:rPr>
        <w:t>第二章</w:t>
      </w:r>
      <w:r>
        <w:rPr>
          <w:rFonts w:hint="eastAsia"/>
          <w:sz w:val="24"/>
          <w:szCs w:val="24"/>
          <w:lang w:val="en-US" w:eastAsia="zh-CN"/>
        </w:rPr>
        <w:t xml:space="preserve">  </w:t>
      </w:r>
      <w:r>
        <w:rPr>
          <w:rFonts w:hint="eastAsia"/>
          <w:sz w:val="24"/>
          <w:szCs w:val="24"/>
        </w:rPr>
        <w:t>供应商须知</w:t>
      </w:r>
      <w:r>
        <w:rPr>
          <w:sz w:val="24"/>
          <w:szCs w:val="24"/>
        </w:rPr>
        <w:tab/>
      </w:r>
      <w:r>
        <w:rPr>
          <w:sz w:val="24"/>
          <w:szCs w:val="24"/>
        </w:rPr>
        <w:fldChar w:fldCharType="begin"/>
      </w:r>
      <w:r>
        <w:rPr>
          <w:sz w:val="24"/>
          <w:szCs w:val="24"/>
        </w:rPr>
        <w:instrText xml:space="preserve"> PAGEREF _Toc25620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3"/>
        <w:tabs>
          <w:tab w:val="right" w:leader="dot" w:pos="8312"/>
          <w:tab w:val="clear" w:pos="8296"/>
        </w:tabs>
        <w:spacing w:line="360" w:lineRule="auto"/>
        <w:rPr>
          <w:sz w:val="24"/>
          <w:szCs w:val="24"/>
        </w:rPr>
      </w:pPr>
      <w:r>
        <w:rPr>
          <w:rFonts w:hint="eastAsia"/>
          <w:sz w:val="24"/>
          <w:szCs w:val="24"/>
        </w:rPr>
        <w:fldChar w:fldCharType="begin"/>
      </w:r>
      <w:r>
        <w:rPr>
          <w:rFonts w:hint="eastAsia"/>
          <w:sz w:val="24"/>
          <w:szCs w:val="24"/>
        </w:rPr>
        <w:instrText xml:space="preserve"> HYPERLINK \l _Toc20798 </w:instrText>
      </w:r>
      <w:r>
        <w:rPr>
          <w:rFonts w:hint="eastAsia"/>
          <w:sz w:val="24"/>
          <w:szCs w:val="24"/>
        </w:rPr>
        <w:fldChar w:fldCharType="separate"/>
      </w:r>
      <w:r>
        <w:rPr>
          <w:rFonts w:hint="eastAsia"/>
          <w:sz w:val="24"/>
          <w:szCs w:val="24"/>
        </w:rPr>
        <w:t xml:space="preserve">第三章 </w:t>
      </w:r>
      <w:r>
        <w:rPr>
          <w:rFonts w:hint="eastAsia"/>
          <w:sz w:val="24"/>
          <w:szCs w:val="24"/>
          <w:lang w:val="en-US" w:eastAsia="zh-CN"/>
        </w:rPr>
        <w:t xml:space="preserve"> </w:t>
      </w:r>
      <w:r>
        <w:rPr>
          <w:rFonts w:hint="eastAsia"/>
          <w:sz w:val="24"/>
          <w:szCs w:val="24"/>
        </w:rPr>
        <w:t>评审办法</w:t>
      </w:r>
      <w:r>
        <w:rPr>
          <w:sz w:val="24"/>
          <w:szCs w:val="24"/>
        </w:rPr>
        <w:tab/>
      </w:r>
      <w:r>
        <w:rPr>
          <w:sz w:val="24"/>
          <w:szCs w:val="24"/>
        </w:rPr>
        <w:fldChar w:fldCharType="begin"/>
      </w:r>
      <w:r>
        <w:rPr>
          <w:sz w:val="24"/>
          <w:szCs w:val="24"/>
        </w:rPr>
        <w:instrText xml:space="preserve"> PAGEREF _Toc20798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13"/>
        <w:tabs>
          <w:tab w:val="right" w:leader="dot" w:pos="8312"/>
          <w:tab w:val="clear" w:pos="8296"/>
        </w:tabs>
        <w:spacing w:line="360" w:lineRule="auto"/>
        <w:rPr>
          <w:sz w:val="24"/>
          <w:szCs w:val="24"/>
        </w:rPr>
      </w:pPr>
      <w:r>
        <w:rPr>
          <w:rFonts w:hint="eastAsia"/>
          <w:sz w:val="24"/>
          <w:szCs w:val="24"/>
        </w:rPr>
        <w:fldChar w:fldCharType="begin"/>
      </w:r>
      <w:r>
        <w:rPr>
          <w:rFonts w:hint="eastAsia"/>
          <w:sz w:val="24"/>
          <w:szCs w:val="24"/>
        </w:rPr>
        <w:instrText xml:space="preserve"> HYPERLINK \l _Toc29507 </w:instrText>
      </w:r>
      <w:r>
        <w:rPr>
          <w:rFonts w:hint="eastAsia"/>
          <w:sz w:val="24"/>
          <w:szCs w:val="24"/>
        </w:rPr>
        <w:fldChar w:fldCharType="separate"/>
      </w:r>
      <w:r>
        <w:rPr>
          <w:rFonts w:hint="eastAsia"/>
          <w:sz w:val="24"/>
          <w:szCs w:val="24"/>
        </w:rPr>
        <w:t>第四章  合同条款及格式</w:t>
      </w:r>
      <w:r>
        <w:rPr>
          <w:sz w:val="24"/>
          <w:szCs w:val="24"/>
        </w:rPr>
        <w:tab/>
      </w:r>
      <w:r>
        <w:rPr>
          <w:rFonts w:hint="eastAsia"/>
          <w:sz w:val="24"/>
          <w:szCs w:val="24"/>
          <w:lang w:val="en-US" w:eastAsia="zh-CN"/>
        </w:rPr>
        <w:t>21</w:t>
      </w:r>
      <w:r>
        <w:rPr>
          <w:rFonts w:hint="eastAsia"/>
          <w:sz w:val="24"/>
          <w:szCs w:val="24"/>
        </w:rPr>
        <w:fldChar w:fldCharType="end"/>
      </w:r>
    </w:p>
    <w:p>
      <w:pPr>
        <w:pStyle w:val="13"/>
        <w:tabs>
          <w:tab w:val="right" w:leader="dot" w:pos="8312"/>
          <w:tab w:val="clear" w:pos="8296"/>
        </w:tabs>
        <w:spacing w:line="360" w:lineRule="auto"/>
        <w:rPr>
          <w:rFonts w:hint="eastAsia" w:eastAsia="宋体"/>
          <w:sz w:val="24"/>
          <w:szCs w:val="24"/>
          <w:lang w:val="en-US" w:eastAsia="zh-CN"/>
        </w:rPr>
      </w:pPr>
      <w:r>
        <w:rPr>
          <w:rFonts w:hint="eastAsia"/>
          <w:sz w:val="24"/>
          <w:szCs w:val="24"/>
        </w:rPr>
        <w:fldChar w:fldCharType="begin"/>
      </w:r>
      <w:r>
        <w:rPr>
          <w:rFonts w:hint="eastAsia"/>
          <w:sz w:val="24"/>
          <w:szCs w:val="24"/>
        </w:rPr>
        <w:instrText xml:space="preserve"> HYPERLINK \l _Toc6085 </w:instrText>
      </w:r>
      <w:r>
        <w:rPr>
          <w:rFonts w:hint="eastAsia"/>
          <w:sz w:val="24"/>
          <w:szCs w:val="24"/>
        </w:rPr>
        <w:fldChar w:fldCharType="separate"/>
      </w:r>
      <w:r>
        <w:rPr>
          <w:rFonts w:hint="eastAsia"/>
          <w:sz w:val="24"/>
          <w:szCs w:val="24"/>
        </w:rPr>
        <w:t>第五章  工程量清单  最高投标限价</w:t>
      </w:r>
      <w:r>
        <w:rPr>
          <w:sz w:val="24"/>
          <w:szCs w:val="24"/>
        </w:rPr>
        <w:tab/>
      </w:r>
      <w:r>
        <w:rPr>
          <w:rFonts w:hint="eastAsia"/>
          <w:sz w:val="24"/>
          <w:szCs w:val="24"/>
          <w:lang w:val="en-US" w:eastAsia="zh-CN"/>
        </w:rPr>
        <w:t>2</w:t>
      </w:r>
      <w:r>
        <w:rPr>
          <w:rFonts w:hint="eastAsia"/>
          <w:sz w:val="24"/>
          <w:szCs w:val="24"/>
        </w:rPr>
        <w:fldChar w:fldCharType="end"/>
      </w:r>
      <w:r>
        <w:rPr>
          <w:rFonts w:hint="eastAsia"/>
          <w:sz w:val="24"/>
          <w:szCs w:val="24"/>
          <w:lang w:val="en-US" w:eastAsia="zh-CN"/>
        </w:rPr>
        <w:t>7</w:t>
      </w:r>
    </w:p>
    <w:p>
      <w:pPr>
        <w:pStyle w:val="13"/>
        <w:tabs>
          <w:tab w:val="right" w:leader="dot" w:pos="8312"/>
          <w:tab w:val="clear" w:pos="8296"/>
        </w:tabs>
        <w:spacing w:line="360" w:lineRule="auto"/>
        <w:rPr>
          <w:rFonts w:hint="eastAsia" w:eastAsia="宋体"/>
          <w:sz w:val="24"/>
          <w:szCs w:val="24"/>
          <w:lang w:val="en-US" w:eastAsia="zh-CN"/>
        </w:rPr>
      </w:pPr>
      <w:r>
        <w:rPr>
          <w:rFonts w:hint="eastAsia"/>
          <w:sz w:val="24"/>
          <w:szCs w:val="24"/>
        </w:rPr>
        <w:fldChar w:fldCharType="begin"/>
      </w:r>
      <w:r>
        <w:rPr>
          <w:rFonts w:hint="eastAsia"/>
          <w:sz w:val="24"/>
          <w:szCs w:val="24"/>
        </w:rPr>
        <w:instrText xml:space="preserve"> HYPERLINK \l _Toc14105 </w:instrText>
      </w:r>
      <w:r>
        <w:rPr>
          <w:rFonts w:hint="eastAsia"/>
          <w:sz w:val="24"/>
          <w:szCs w:val="24"/>
        </w:rPr>
        <w:fldChar w:fldCharType="separate"/>
      </w:r>
      <w:r>
        <w:rPr>
          <w:rFonts w:hint="eastAsia"/>
          <w:sz w:val="24"/>
          <w:szCs w:val="24"/>
        </w:rPr>
        <w:t>第</w:t>
      </w:r>
      <w:r>
        <w:rPr>
          <w:rFonts w:hint="eastAsia"/>
          <w:sz w:val="24"/>
          <w:szCs w:val="24"/>
          <w:lang w:eastAsia="zh-CN"/>
        </w:rPr>
        <w:t>六</w:t>
      </w:r>
      <w:r>
        <w:rPr>
          <w:rFonts w:hint="eastAsia"/>
          <w:sz w:val="24"/>
          <w:szCs w:val="24"/>
        </w:rPr>
        <w:t>章  技术标准和要求</w:t>
      </w:r>
      <w:r>
        <w:rPr>
          <w:sz w:val="24"/>
          <w:szCs w:val="24"/>
        </w:rPr>
        <w:tab/>
      </w:r>
      <w:r>
        <w:rPr>
          <w:rFonts w:hint="eastAsia"/>
          <w:sz w:val="24"/>
          <w:szCs w:val="24"/>
          <w:lang w:val="en-US" w:eastAsia="zh-CN"/>
        </w:rPr>
        <w:t>2</w:t>
      </w:r>
      <w:r>
        <w:rPr>
          <w:rFonts w:hint="eastAsia"/>
          <w:sz w:val="24"/>
          <w:szCs w:val="24"/>
        </w:rPr>
        <w:fldChar w:fldCharType="end"/>
      </w:r>
      <w:r>
        <w:rPr>
          <w:rFonts w:hint="eastAsia"/>
          <w:sz w:val="24"/>
          <w:szCs w:val="24"/>
          <w:lang w:val="en-US" w:eastAsia="zh-CN"/>
        </w:rPr>
        <w:t>8</w:t>
      </w:r>
    </w:p>
    <w:p>
      <w:pPr>
        <w:pStyle w:val="13"/>
        <w:tabs>
          <w:tab w:val="right" w:leader="dot" w:pos="8312"/>
          <w:tab w:val="clear" w:pos="8296"/>
        </w:tabs>
        <w:spacing w:line="360" w:lineRule="auto"/>
        <w:rPr>
          <w:rFonts w:hint="eastAsia" w:eastAsia="宋体"/>
          <w:sz w:val="24"/>
          <w:szCs w:val="24"/>
          <w:lang w:val="en-US" w:eastAsia="zh-CN"/>
        </w:rPr>
      </w:pPr>
      <w:r>
        <w:rPr>
          <w:rFonts w:hint="eastAsia"/>
          <w:sz w:val="24"/>
          <w:szCs w:val="24"/>
        </w:rPr>
        <w:fldChar w:fldCharType="begin"/>
      </w:r>
      <w:r>
        <w:rPr>
          <w:rFonts w:hint="eastAsia"/>
          <w:sz w:val="24"/>
          <w:szCs w:val="24"/>
        </w:rPr>
        <w:instrText xml:space="preserve"> HYPERLINK \l _Toc24364 </w:instrText>
      </w:r>
      <w:r>
        <w:rPr>
          <w:rFonts w:hint="eastAsia"/>
          <w:sz w:val="24"/>
          <w:szCs w:val="24"/>
        </w:rPr>
        <w:fldChar w:fldCharType="separate"/>
      </w:r>
      <w:r>
        <w:rPr>
          <w:rFonts w:hint="eastAsia"/>
          <w:sz w:val="24"/>
          <w:szCs w:val="24"/>
        </w:rPr>
        <w:t>第</w:t>
      </w:r>
      <w:r>
        <w:rPr>
          <w:rFonts w:hint="eastAsia"/>
          <w:sz w:val="24"/>
          <w:szCs w:val="24"/>
          <w:lang w:eastAsia="zh-CN"/>
        </w:rPr>
        <w:t>七</w:t>
      </w:r>
      <w:r>
        <w:rPr>
          <w:rFonts w:hint="eastAsia"/>
          <w:sz w:val="24"/>
          <w:szCs w:val="24"/>
        </w:rPr>
        <w:t xml:space="preserve">章 </w:t>
      </w:r>
      <w:r>
        <w:rPr>
          <w:rFonts w:hint="eastAsia"/>
          <w:sz w:val="24"/>
          <w:szCs w:val="24"/>
          <w:lang w:val="en-US" w:eastAsia="zh-CN"/>
        </w:rPr>
        <w:t xml:space="preserve"> </w:t>
      </w:r>
      <w:r>
        <w:rPr>
          <w:rFonts w:hint="eastAsia"/>
          <w:sz w:val="24"/>
          <w:szCs w:val="24"/>
        </w:rPr>
        <w:t>响应文件格式</w:t>
      </w:r>
      <w:r>
        <w:rPr>
          <w:sz w:val="24"/>
          <w:szCs w:val="24"/>
        </w:rPr>
        <w:tab/>
      </w:r>
      <w:r>
        <w:rPr>
          <w:rFonts w:hint="eastAsia"/>
          <w:sz w:val="24"/>
          <w:szCs w:val="24"/>
          <w:lang w:val="en-US" w:eastAsia="zh-CN"/>
        </w:rPr>
        <w:t>2</w:t>
      </w:r>
      <w:r>
        <w:rPr>
          <w:rFonts w:hint="eastAsia"/>
          <w:sz w:val="24"/>
          <w:szCs w:val="24"/>
        </w:rPr>
        <w:fldChar w:fldCharType="end"/>
      </w:r>
      <w:r>
        <w:rPr>
          <w:rFonts w:hint="eastAsia"/>
          <w:sz w:val="24"/>
          <w:szCs w:val="24"/>
          <w:lang w:val="en-US" w:eastAsia="zh-CN"/>
        </w:rPr>
        <w:t>9</w:t>
      </w:r>
    </w:p>
    <w:p>
      <w:pPr>
        <w:spacing w:line="360" w:lineRule="auto"/>
        <w:rPr>
          <w:rFonts w:hint="eastAsia"/>
        </w:rPr>
      </w:pPr>
      <w:r>
        <w:rPr>
          <w:rFonts w:hint="eastAsia"/>
          <w:sz w:val="24"/>
          <w:szCs w:val="24"/>
        </w:rPr>
        <w:fldChar w:fldCharType="end"/>
      </w:r>
    </w:p>
    <w:p>
      <w:pPr>
        <w:pStyle w:val="2"/>
        <w:jc w:val="center"/>
        <w:rPr>
          <w:rFonts w:hint="eastAsia"/>
        </w:rPr>
      </w:pPr>
    </w:p>
    <w:p>
      <w:pPr>
        <w:tabs>
          <w:tab w:val="center" w:pos="4156"/>
        </w:tabs>
        <w:bidi w:val="0"/>
        <w:jc w:val="left"/>
        <w:rPr>
          <w:rFonts w:hint="eastAsia" w:eastAsiaTheme="minorEastAsia"/>
          <w:lang w:eastAsia="zh-CN"/>
        </w:rPr>
        <w:sectPr>
          <w:headerReference r:id="rId3" w:type="default"/>
          <w:footerReference r:id="rId4" w:type="default"/>
          <w:pgSz w:w="11906" w:h="16838"/>
          <w:pgMar w:top="1440" w:right="1797" w:bottom="1440" w:left="1797" w:header="851" w:footer="592" w:gutter="0"/>
          <w:pgNumType w:fmt="decimal" w:start="1"/>
          <w:cols w:space="720" w:num="1"/>
          <w:docGrid w:type="lines" w:linePitch="312" w:charSpace="0"/>
        </w:sectPr>
      </w:pPr>
      <w:r>
        <w:rPr>
          <w:rFonts w:hint="eastAsia"/>
          <w:lang w:eastAsia="zh-CN"/>
        </w:rPr>
        <w:tab/>
      </w:r>
    </w:p>
    <w:p>
      <w:pPr>
        <w:pStyle w:val="2"/>
        <w:numPr>
          <w:ilvl w:val="0"/>
          <w:numId w:val="1"/>
        </w:numPr>
        <w:spacing w:before="0" w:after="0" w:line="240" w:lineRule="auto"/>
        <w:jc w:val="center"/>
        <w:rPr>
          <w:rFonts w:hint="eastAsia"/>
          <w:sz w:val="40"/>
          <w:szCs w:val="20"/>
        </w:rPr>
      </w:pPr>
      <w:bookmarkStart w:id="1" w:name="_Toc23758"/>
      <w:r>
        <w:rPr>
          <w:rFonts w:hint="eastAsia"/>
          <w:sz w:val="40"/>
          <w:szCs w:val="20"/>
          <w:lang w:val="en-US" w:eastAsia="zh-CN"/>
        </w:rPr>
        <w:t xml:space="preserve"> </w:t>
      </w:r>
      <w:r>
        <w:rPr>
          <w:rFonts w:hint="eastAsia"/>
          <w:sz w:val="40"/>
          <w:szCs w:val="20"/>
        </w:rPr>
        <w:t>竞争性谈判公告</w:t>
      </w:r>
      <w:bookmarkEnd w:id="1"/>
    </w:p>
    <w:p>
      <w:pPr>
        <w:pStyle w:val="15"/>
        <w:spacing w:line="240" w:lineRule="auto"/>
        <w:ind w:left="0" w:leftChars="0" w:firstLine="0" w:firstLineChars="0"/>
        <w:rPr>
          <w:rFonts w:hint="eastAsia" w:ascii="宋体" w:hAnsi="宋体" w:eastAsia="宋体" w:cs="宋体"/>
          <w:sz w:val="24"/>
          <w:szCs w:val="24"/>
          <w:lang w:val="en-US" w:eastAsia="zh-CN"/>
        </w:rPr>
      </w:pP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lang w:eastAsia="zh-CN"/>
        </w:rPr>
        <w:t>阜南县建筑工程质量建筑材料检测中心新增设备项目</w:t>
      </w:r>
      <w:r>
        <w:rPr>
          <w:rFonts w:hint="eastAsia" w:ascii="宋体" w:hAnsi="宋体" w:eastAsia="宋体" w:cs="宋体"/>
          <w:sz w:val="24"/>
          <w:szCs w:val="24"/>
        </w:rPr>
        <w:t>采购项目的供应商应在</w:t>
      </w:r>
      <w:r>
        <w:rPr>
          <w:rFonts w:hint="eastAsia" w:ascii="宋体" w:hAnsi="宋体" w:eastAsia="宋体" w:cs="宋体"/>
          <w:sz w:val="24"/>
          <w:szCs w:val="24"/>
          <w:lang w:eastAsia="zh-CN"/>
        </w:rPr>
        <w:t>阜南县奇卓咨询服务有限公司</w:t>
      </w:r>
      <w:r>
        <w:rPr>
          <w:rFonts w:hint="eastAsia" w:ascii="宋体" w:hAnsi="宋体" w:eastAsia="宋体" w:cs="宋体"/>
          <w:sz w:val="24"/>
          <w:szCs w:val="24"/>
        </w:rPr>
        <w:t>获取采购</w:t>
      </w:r>
      <w:r>
        <w:rPr>
          <w:rFonts w:hint="eastAsia" w:ascii="宋体" w:hAnsi="宋体" w:eastAsia="宋体" w:cs="宋体"/>
          <w:sz w:val="24"/>
          <w:szCs w:val="24"/>
          <w:lang w:eastAsia="zh-CN"/>
        </w:rPr>
        <w:t>公告</w:t>
      </w:r>
      <w:r>
        <w:rPr>
          <w:rFonts w:hint="eastAsia" w:ascii="宋体" w:hAnsi="宋体" w:eastAsia="宋体" w:cs="宋体"/>
          <w:sz w:val="24"/>
          <w:szCs w:val="24"/>
        </w:rPr>
        <w:t>，并于</w:t>
      </w:r>
      <w:r>
        <w:rPr>
          <w:rFonts w:hint="eastAsia" w:ascii="宋体" w:hAnsi="宋体" w:eastAsia="宋体" w:cs="宋体"/>
          <w:sz w:val="24"/>
          <w:szCs w:val="24"/>
          <w:u w:val="single"/>
          <w:lang w:val="en-US" w:eastAsia="zh-CN"/>
        </w:rPr>
        <w:t>2024年10月23日16点00分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bookmarkStart w:id="2" w:name="_Toc35393798"/>
      <w:bookmarkStart w:id="3" w:name="_Toc28359012"/>
      <w:bookmarkStart w:id="4" w:name="_Toc28359089"/>
      <w:bookmarkStart w:id="5" w:name="_Toc35393629"/>
      <w:r>
        <w:rPr>
          <w:rFonts w:hint="eastAsia" w:ascii="宋体" w:hAnsi="宋体" w:eastAsia="宋体" w:cs="宋体"/>
          <w:b/>
          <w:i w:val="0"/>
          <w:kern w:val="2"/>
          <w:sz w:val="24"/>
          <w:szCs w:val="24"/>
          <w:lang w:val="en-US" w:bidi="ar-SA"/>
        </w:rPr>
        <w:t>一、项目基本情况</w:t>
      </w:r>
      <w:bookmarkEnd w:id="2"/>
      <w:bookmarkEnd w:id="3"/>
      <w:bookmarkEnd w:id="4"/>
      <w:bookmarkEnd w:id="5"/>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FNZJ-ZQ2024011</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lang w:eastAsia="zh-CN"/>
        </w:rPr>
        <w:t>阜南县建筑工程质量建筑材料检测中心新增设备项目</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采购方式：竞争性谈判</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val="en-US" w:eastAsia="zh-CN"/>
        </w:rPr>
      </w:pPr>
      <w:bookmarkStart w:id="6" w:name="_Toc28359013"/>
      <w:bookmarkStart w:id="7" w:name="_Toc28359090"/>
      <w:bookmarkStart w:id="8" w:name="_Toc35393799"/>
      <w:bookmarkStart w:id="9" w:name="_Toc35393630"/>
      <w:r>
        <w:rPr>
          <w:rFonts w:hint="eastAsia" w:ascii="宋体" w:hAnsi="宋体" w:eastAsia="宋体" w:cs="宋体"/>
          <w:sz w:val="24"/>
          <w:szCs w:val="24"/>
          <w:lang w:val="en-US" w:eastAsia="zh-CN"/>
        </w:rPr>
        <w:t>预算金额：8.9万元</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最高限价：8.9万元</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采购需求：本项目检测中心安装操作台、排风系统、气体管路采购,详见采购需求。</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合同履行期限：合同生效后7日历天内供货安装完毕 </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679" w:leftChars="228" w:hanging="1200" w:hanging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本项目是否接受联合体：否  </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r>
        <w:rPr>
          <w:rFonts w:hint="eastAsia" w:ascii="宋体" w:hAnsi="宋体" w:eastAsia="宋体" w:cs="宋体"/>
          <w:b/>
          <w:i w:val="0"/>
          <w:kern w:val="2"/>
          <w:sz w:val="24"/>
          <w:szCs w:val="24"/>
          <w:lang w:val="en-US" w:bidi="ar-SA"/>
        </w:rPr>
        <w:t>二、申请人的资格要求：</w:t>
      </w:r>
      <w:bookmarkEnd w:id="6"/>
      <w:bookmarkEnd w:id="7"/>
      <w:bookmarkEnd w:id="8"/>
      <w:bookmarkEnd w:id="9"/>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sz w:val="24"/>
          <w:szCs w:val="24"/>
          <w:lang w:val="en-US"/>
        </w:rPr>
      </w:pPr>
      <w:bookmarkStart w:id="10" w:name="_Toc28359014"/>
      <w:bookmarkStart w:id="11" w:name="_Toc35393800"/>
      <w:bookmarkStart w:id="12" w:name="_Toc28359091"/>
      <w:bookmarkStart w:id="13" w:name="_Toc35393631"/>
      <w:r>
        <w:rPr>
          <w:rFonts w:hint="eastAsia" w:ascii="宋体" w:hAnsi="宋体" w:eastAsia="宋体" w:cs="宋体"/>
          <w:sz w:val="24"/>
          <w:szCs w:val="24"/>
          <w:lang w:val="en-US"/>
        </w:rPr>
        <w:t>2.落实政府采购政策需满足的资格要求：无。本项目符合财政部、工业和信息化部制定的《政府采购促进中小企业发展管理办法》第六条第3款之规定，为非专门面向中小企业采购项目。</w:t>
      </w:r>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3.本项目的特定资格要求：无</w:t>
      </w:r>
    </w:p>
    <w:p>
      <w:pPr>
        <w:pageBreakBefore w:val="0"/>
        <w:tabs>
          <w:tab w:val="left" w:pos="900"/>
          <w:tab w:val="left" w:pos="3775"/>
          <w:tab w:val="left" w:pos="4670"/>
        </w:tabs>
        <w:kinsoku/>
        <w:wordWrap/>
        <w:overflowPunct/>
        <w:topLinePunct w:val="0"/>
        <w:bidi w:val="0"/>
        <w:adjustRightInd/>
        <w:snapToGrid/>
        <w:spacing w:before="0" w:beforeLines="50" w:after="0" w:afterLines="50" w:line="240" w:lineRule="auto"/>
        <w:ind w:right="358"/>
        <w:textAlignment w:val="auto"/>
        <w:rPr>
          <w:rFonts w:hint="eastAsia" w:ascii="宋体" w:hAnsi="宋体" w:eastAsia="宋体" w:cs="宋体"/>
          <w:b/>
          <w:i w:val="0"/>
          <w:kern w:val="2"/>
          <w:sz w:val="24"/>
          <w:szCs w:val="24"/>
          <w:lang w:val="en-US" w:bidi="ar-SA"/>
        </w:rPr>
      </w:pPr>
      <w:r>
        <w:rPr>
          <w:rFonts w:hint="eastAsia" w:ascii="宋体" w:hAnsi="宋体" w:eastAsia="宋体" w:cs="宋体"/>
          <w:b/>
          <w:i w:val="0"/>
          <w:kern w:val="2"/>
          <w:sz w:val="24"/>
          <w:szCs w:val="24"/>
          <w:lang w:val="en-US" w:bidi="ar-SA"/>
        </w:rPr>
        <w:t>三、获取采购文件</w:t>
      </w:r>
      <w:bookmarkEnd w:id="10"/>
      <w:bookmarkEnd w:id="11"/>
      <w:bookmarkEnd w:id="12"/>
      <w:bookmarkEnd w:id="13"/>
    </w:p>
    <w:p>
      <w:pPr>
        <w:pageBreakBefore w:val="0"/>
        <w:widowControl/>
        <w:shd w:val="clear" w:color="auto" w:fill="FFFFFF"/>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sz w:val="24"/>
          <w:szCs w:val="24"/>
          <w:shd w:val="clear" w:color="auto" w:fill="FFFFFF"/>
        </w:rPr>
      </w:pPr>
      <w:bookmarkStart w:id="14" w:name="_Toc28359092"/>
      <w:bookmarkStart w:id="15" w:name="_Toc35393632"/>
      <w:bookmarkStart w:id="16" w:name="_Toc28359015"/>
      <w:bookmarkStart w:id="17" w:name="_Toc35393801"/>
      <w:r>
        <w:rPr>
          <w:rFonts w:hint="eastAsia" w:ascii="宋体" w:hAnsi="宋体" w:eastAsia="宋体" w:cs="宋体"/>
          <w:color w:val="000000"/>
          <w:sz w:val="24"/>
          <w:szCs w:val="24"/>
          <w:shd w:val="clear" w:color="auto" w:fill="FFFFFF"/>
        </w:rPr>
        <w:t>时间：202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12</w:t>
      </w:r>
      <w:r>
        <w:rPr>
          <w:rFonts w:hint="eastAsia" w:ascii="宋体" w:hAnsi="宋体" w:eastAsia="宋体" w:cs="宋体"/>
          <w:color w:val="000000"/>
          <w:sz w:val="24"/>
          <w:szCs w:val="24"/>
          <w:shd w:val="clear" w:color="auto" w:fill="FFFFFF"/>
        </w:rPr>
        <w:t xml:space="preserve">日至 </w:t>
      </w:r>
      <w:r>
        <w:rPr>
          <w:rFonts w:hint="eastAsia" w:ascii="宋体" w:hAnsi="宋体" w:eastAsia="宋体" w:cs="宋体"/>
          <w:color w:val="000000"/>
          <w:sz w:val="24"/>
          <w:szCs w:val="24"/>
          <w:shd w:val="clear" w:color="auto" w:fill="FFFFFF"/>
          <w:lang w:eastAsia="zh-CN"/>
        </w:rPr>
        <w:t>2024年10月23日</w:t>
      </w:r>
      <w:r>
        <w:rPr>
          <w:rFonts w:hint="eastAsia" w:ascii="宋体" w:hAnsi="宋体" w:eastAsia="宋体" w:cs="宋体"/>
          <w:color w:val="000000"/>
          <w:sz w:val="24"/>
          <w:szCs w:val="24"/>
          <w:shd w:val="clear" w:color="auto" w:fill="FFFFFF"/>
          <w:lang w:val="en-US" w:eastAsia="zh-CN"/>
        </w:rPr>
        <w:t>16</w:t>
      </w:r>
      <w:r>
        <w:rPr>
          <w:rFonts w:hint="eastAsia" w:ascii="宋体" w:hAnsi="宋体" w:eastAsia="宋体" w:cs="宋体"/>
          <w:color w:val="000000"/>
          <w:sz w:val="24"/>
          <w:szCs w:val="24"/>
          <w:shd w:val="clear" w:color="auto" w:fill="FFFFFF"/>
          <w:lang w:eastAsia="zh-CN"/>
        </w:rPr>
        <w:t>点00分</w:t>
      </w:r>
      <w:r>
        <w:rPr>
          <w:rFonts w:hint="eastAsia" w:ascii="宋体" w:hAnsi="宋体" w:eastAsia="宋体" w:cs="宋体"/>
          <w:color w:val="000000"/>
          <w:sz w:val="24"/>
          <w:szCs w:val="24"/>
          <w:shd w:val="clear" w:color="auto" w:fill="FFFFFF"/>
        </w:rPr>
        <w:t>（文件的发售期限自开始之日起不得少于3个工作日）</w:t>
      </w:r>
    </w:p>
    <w:p>
      <w:pPr>
        <w:pageBreakBefore w:val="0"/>
        <w:widowControl/>
        <w:shd w:val="clear" w:color="auto" w:fill="FFFFFF"/>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地点：</w:t>
      </w:r>
      <w:r>
        <w:rPr>
          <w:rFonts w:hint="eastAsia" w:ascii="宋体" w:hAnsi="宋体" w:eastAsia="宋体" w:cs="宋体"/>
          <w:color w:val="000000"/>
          <w:sz w:val="24"/>
          <w:szCs w:val="24"/>
          <w:shd w:val="clear" w:color="auto" w:fill="FFFFFF"/>
          <w:lang w:eastAsia="zh-CN"/>
        </w:rPr>
        <w:t>阜南县奇卓咨询服务有限公司</w:t>
      </w:r>
    </w:p>
    <w:p>
      <w:pPr>
        <w:pageBreakBefore w:val="0"/>
        <w:widowControl/>
        <w:shd w:val="clear" w:color="auto" w:fill="FFFFFF"/>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获取方式：现场领取或邮箱发送</w:t>
      </w:r>
      <w:r>
        <w:rPr>
          <w:rFonts w:hint="eastAsia" w:ascii="宋体" w:hAnsi="宋体" w:eastAsia="宋体" w:cs="宋体"/>
          <w:color w:val="000000"/>
          <w:sz w:val="24"/>
          <w:szCs w:val="24"/>
          <w:shd w:val="clear" w:color="auto" w:fill="FFFFFF"/>
        </w:rPr>
        <w:t xml:space="preserve">                                   </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r>
        <w:rPr>
          <w:rFonts w:hint="eastAsia" w:ascii="宋体" w:hAnsi="宋体" w:eastAsia="宋体" w:cs="宋体"/>
          <w:b/>
          <w:i w:val="0"/>
          <w:kern w:val="2"/>
          <w:sz w:val="24"/>
          <w:szCs w:val="24"/>
          <w:lang w:val="en-US" w:bidi="ar-SA"/>
        </w:rPr>
        <w:t>四、响应文件提交</w:t>
      </w:r>
      <w:bookmarkEnd w:id="14"/>
      <w:bookmarkEnd w:id="15"/>
      <w:bookmarkEnd w:id="16"/>
      <w:bookmarkEnd w:id="17"/>
    </w:p>
    <w:p>
      <w:pPr>
        <w:pageBreakBefore w:val="0"/>
        <w:widowControl/>
        <w:shd w:val="clear" w:color="auto" w:fill="FFFFFF"/>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sz w:val="24"/>
          <w:szCs w:val="24"/>
          <w:shd w:val="clear" w:color="auto" w:fill="FFFFFF"/>
          <w:lang w:val="en-US" w:eastAsia="zh-CN"/>
        </w:rPr>
      </w:pPr>
      <w:bookmarkStart w:id="18" w:name="_Toc28359016"/>
      <w:bookmarkStart w:id="19" w:name="_Toc35393633"/>
      <w:bookmarkStart w:id="20" w:name="_Toc28359093"/>
      <w:bookmarkStart w:id="21" w:name="_Toc35393802"/>
      <w:r>
        <w:rPr>
          <w:rFonts w:hint="eastAsia" w:ascii="宋体" w:hAnsi="宋体" w:eastAsia="宋体" w:cs="宋体"/>
          <w:color w:val="000000"/>
          <w:sz w:val="24"/>
          <w:szCs w:val="24"/>
          <w:shd w:val="clear" w:color="auto" w:fill="FFFFFF"/>
          <w:lang w:val="en-US" w:eastAsia="zh-CN"/>
        </w:rPr>
        <w:t>截止时间：2024年10月23日16点00分（北京时间）（从发出之日起至供应商提交响应文件截止之日止不得少于3个工作日）</w:t>
      </w:r>
    </w:p>
    <w:p>
      <w:pPr>
        <w:pageBreakBefore w:val="0"/>
        <w:widowControl/>
        <w:shd w:val="clear" w:color="auto" w:fill="FFFFFF"/>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地点：阜南县住房和城乡建设局三楼会议室</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r>
        <w:rPr>
          <w:rFonts w:hint="eastAsia" w:ascii="宋体" w:hAnsi="宋体" w:eastAsia="宋体" w:cs="宋体"/>
          <w:b/>
          <w:i w:val="0"/>
          <w:kern w:val="2"/>
          <w:sz w:val="24"/>
          <w:szCs w:val="24"/>
          <w:lang w:val="en-US" w:bidi="ar-SA"/>
        </w:rPr>
        <w:t>五、开启</w:t>
      </w:r>
      <w:bookmarkEnd w:id="18"/>
      <w:bookmarkEnd w:id="19"/>
      <w:bookmarkEnd w:id="20"/>
      <w:bookmarkEnd w:id="21"/>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color w:val="000000"/>
          <w:sz w:val="24"/>
          <w:szCs w:val="24"/>
          <w:shd w:val="clear" w:color="auto" w:fill="FFFFFF"/>
          <w:lang w:val="en-US" w:eastAsia="zh-CN"/>
        </w:rPr>
        <w:t>2024年10月23日16点00分</w:t>
      </w:r>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color w:val="000000"/>
          <w:sz w:val="24"/>
          <w:szCs w:val="24"/>
        </w:rPr>
        <w:t>阜南县住房和城乡建设局三楼会议室</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bookmarkStart w:id="22" w:name="_Toc28359017"/>
      <w:bookmarkStart w:id="23" w:name="_Toc35393634"/>
      <w:bookmarkStart w:id="24" w:name="_Toc28359094"/>
      <w:bookmarkStart w:id="25" w:name="_Toc35393803"/>
      <w:r>
        <w:rPr>
          <w:rFonts w:hint="eastAsia" w:ascii="宋体" w:hAnsi="宋体" w:eastAsia="宋体" w:cs="宋体"/>
          <w:b/>
          <w:i w:val="0"/>
          <w:kern w:val="2"/>
          <w:sz w:val="24"/>
          <w:szCs w:val="24"/>
          <w:lang w:val="en-US" w:bidi="ar-SA"/>
        </w:rPr>
        <w:t>六、公告期限</w:t>
      </w:r>
      <w:bookmarkEnd w:id="22"/>
      <w:bookmarkEnd w:id="23"/>
      <w:bookmarkEnd w:id="24"/>
      <w:bookmarkEnd w:id="25"/>
    </w:p>
    <w:p>
      <w:pPr>
        <w:pageBreakBefore w:val="0"/>
        <w:kinsoku/>
        <w:wordWrap/>
        <w:overflowPunct/>
        <w:topLinePunct w:val="0"/>
        <w:bidi w:val="0"/>
        <w:adjustRightInd/>
        <w:snapToGrid/>
        <w:spacing w:before="0" w:beforeLines="50" w:after="0" w:afterLines="5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3"/>
        <w:keepNext/>
        <w:keepLines/>
        <w:pageBreakBefore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bookmarkStart w:id="26" w:name="_Toc35393635"/>
      <w:bookmarkStart w:id="27" w:name="_Toc35393804"/>
      <w:r>
        <w:rPr>
          <w:rFonts w:hint="eastAsia" w:ascii="宋体" w:hAnsi="宋体" w:eastAsia="宋体" w:cs="宋体"/>
          <w:b/>
          <w:i w:val="0"/>
          <w:kern w:val="2"/>
          <w:sz w:val="24"/>
          <w:szCs w:val="24"/>
          <w:lang w:val="en-US" w:bidi="ar-SA"/>
        </w:rPr>
        <w:t>七、其他补充事宜</w:t>
      </w:r>
      <w:bookmarkEnd w:id="26"/>
      <w:bookmarkEnd w:id="27"/>
    </w:p>
    <w:p>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jc w:val="both"/>
        <w:textAlignment w:val="auto"/>
        <w:rPr>
          <w:rFonts w:hint="eastAsia" w:ascii="宋体" w:hAnsi="宋体" w:eastAsia="宋体" w:cs="宋体"/>
          <w:b/>
          <w:i w:val="0"/>
          <w:kern w:val="2"/>
          <w:sz w:val="24"/>
          <w:szCs w:val="24"/>
          <w:lang w:val="en-US" w:bidi="ar-SA"/>
        </w:rPr>
      </w:pPr>
      <w:bookmarkStart w:id="28" w:name="_Toc35393805"/>
      <w:bookmarkStart w:id="29" w:name="_Toc35393636"/>
      <w:bookmarkStart w:id="30" w:name="_Toc28359018"/>
      <w:bookmarkStart w:id="31" w:name="_Toc28359095"/>
      <w:r>
        <w:rPr>
          <w:rFonts w:hint="eastAsia" w:ascii="宋体" w:hAnsi="宋体" w:eastAsia="宋体" w:cs="宋体"/>
          <w:b/>
          <w:i w:val="0"/>
          <w:kern w:val="2"/>
          <w:sz w:val="24"/>
          <w:szCs w:val="24"/>
          <w:lang w:val="en-US" w:bidi="ar-SA"/>
        </w:rPr>
        <w:t>八、凡对本次采购提出询问，请按以下方式联系。</w:t>
      </w:r>
      <w:bookmarkEnd w:id="28"/>
      <w:bookmarkEnd w:id="29"/>
      <w:bookmarkEnd w:id="30"/>
      <w:bookmarkEnd w:id="31"/>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720" w:firstLineChars="3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1.采购人信息</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720" w:firstLineChars="3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名    称：</w:t>
      </w:r>
      <w:r>
        <w:rPr>
          <w:rFonts w:hint="eastAsia" w:ascii="宋体" w:hAnsi="宋体" w:eastAsia="宋体" w:cs="宋体"/>
          <w:color w:val="000000"/>
          <w:kern w:val="0"/>
          <w:sz w:val="24"/>
          <w:szCs w:val="24"/>
          <w:lang w:eastAsia="zh-CN"/>
        </w:rPr>
        <w:t>阜南县建筑工程质量建筑材料检测中心</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lang w:eastAsia="zh-CN"/>
        </w:rPr>
        <w:t>安徽省阜阳市阜南县经济开发区双航纸业东侧、颍州路南侧</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联系方式：</w:t>
      </w:r>
      <w:r>
        <w:rPr>
          <w:rFonts w:hint="eastAsia" w:ascii="宋体" w:hAnsi="宋体" w:eastAsia="宋体" w:cs="宋体"/>
          <w:color w:val="000000"/>
          <w:kern w:val="0"/>
          <w:sz w:val="24"/>
          <w:szCs w:val="24"/>
          <w:lang w:val="en-US" w:eastAsia="zh-CN"/>
        </w:rPr>
        <w:t>0558-8597778</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2.采购代理机构信息</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名    称：</w:t>
      </w:r>
      <w:r>
        <w:rPr>
          <w:rFonts w:hint="eastAsia" w:ascii="宋体" w:hAnsi="宋体" w:eastAsia="宋体" w:cs="宋体"/>
          <w:color w:val="000000"/>
          <w:kern w:val="0"/>
          <w:sz w:val="24"/>
          <w:szCs w:val="24"/>
          <w:lang w:eastAsia="zh-CN"/>
        </w:rPr>
        <w:t>阜南县奇卓咨询服务有限公司</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地址：安徽省阜阳市阜南县鹿城镇谷河东路57号</w:t>
      </w:r>
    </w:p>
    <w:p>
      <w:pPr>
        <w:keepNext w:val="0"/>
        <w:keepLines w:val="0"/>
        <w:pageBreakBefore w:val="0"/>
        <w:widowControl/>
        <w:shd w:val="clear" w:color="auto" w:fill="FFFFFF"/>
        <w:kinsoku/>
        <w:wordWrap/>
        <w:overflowPunct/>
        <w:topLinePunct w:val="0"/>
        <w:autoSpaceDE w:val="0"/>
        <w:autoSpaceDN w:val="0"/>
        <w:bidi w:val="0"/>
        <w:adjustRightInd/>
        <w:snapToGrid/>
        <w:spacing w:before="0" w:beforeLines="50" w:after="0" w:afterLines="50" w:line="240" w:lineRule="auto"/>
        <w:ind w:firstLine="720" w:firstLineChars="3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联系方式：13485583336</w:t>
      </w: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rPr>
          <w:rFonts w:hint="eastAsia"/>
          <w:lang w:eastAsia="zh-CN"/>
        </w:rPr>
      </w:pPr>
      <w:bookmarkStart w:id="32" w:name="_Toc25620"/>
      <w:bookmarkStart w:id="33" w:name="_Toc467135364"/>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15"/>
        <w:ind w:left="0" w:leftChars="0" w:firstLine="0" w:firstLineChars="0"/>
        <w:rPr>
          <w:rFonts w:hint="eastAsia"/>
          <w:lang w:eastAsia="zh-CN"/>
        </w:rPr>
      </w:pPr>
    </w:p>
    <w:p>
      <w:pPr>
        <w:pStyle w:val="2"/>
        <w:numPr>
          <w:ilvl w:val="0"/>
          <w:numId w:val="2"/>
        </w:numPr>
        <w:spacing w:before="0" w:after="0" w:line="240" w:lineRule="auto"/>
        <w:ind w:left="0" w:leftChars="0"/>
        <w:jc w:val="center"/>
        <w:rPr>
          <w:rFonts w:hint="eastAsia"/>
          <w:sz w:val="32"/>
          <w:szCs w:val="16"/>
        </w:rPr>
      </w:pPr>
      <w:r>
        <w:rPr>
          <w:rFonts w:hint="eastAsia"/>
          <w:sz w:val="32"/>
          <w:szCs w:val="16"/>
          <w:lang w:val="en-US" w:eastAsia="zh-CN"/>
        </w:rPr>
        <w:t xml:space="preserve">  </w:t>
      </w:r>
      <w:r>
        <w:rPr>
          <w:rFonts w:hint="eastAsia"/>
          <w:sz w:val="32"/>
          <w:szCs w:val="16"/>
        </w:rPr>
        <w:t>供应商须知</w:t>
      </w:r>
    </w:p>
    <w:p>
      <w:pPr>
        <w:pStyle w:val="2"/>
        <w:numPr>
          <w:ilvl w:val="0"/>
          <w:numId w:val="0"/>
        </w:numPr>
        <w:spacing w:before="0" w:after="0" w:line="240" w:lineRule="auto"/>
        <w:ind w:left="0" w:leftChars="0" w:firstLine="0" w:firstLineChars="0"/>
        <w:jc w:val="center"/>
        <w:rPr>
          <w:rFonts w:hint="eastAsia"/>
          <w:sz w:val="40"/>
          <w:szCs w:val="20"/>
          <w:lang w:val="en-US" w:eastAsia="zh-CN"/>
        </w:rPr>
      </w:pPr>
      <w:r>
        <w:rPr>
          <w:rFonts w:hint="eastAsia" w:ascii="宋体" w:hAnsi="宋体" w:cs="宋体" w:eastAsiaTheme="minorEastAsia"/>
          <w:b/>
          <w:kern w:val="44"/>
          <w:sz w:val="28"/>
          <w:szCs w:val="28"/>
          <w:lang w:val="en-US" w:eastAsia="zh-CN" w:bidi="ar-SA"/>
        </w:rPr>
        <w:t>供应商须知前附表</w:t>
      </w:r>
    </w:p>
    <w:tbl>
      <w:tblPr>
        <w:tblStyle w:val="16"/>
        <w:tblpPr w:leftFromText="180" w:rightFromText="180" w:vertAnchor="text" w:horzAnchor="page" w:tblpX="1447" w:tblpY="41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1935"/>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15" w:type="dxa"/>
            <w:vAlign w:val="center"/>
          </w:tcPr>
          <w:p>
            <w:pPr>
              <w:spacing w:line="400" w:lineRule="exact"/>
              <w:jc w:val="center"/>
              <w:rPr>
                <w:rFonts w:hint="eastAsia" w:ascii="宋体" w:hAnsi="宋体" w:cs="宋体"/>
                <w:b/>
                <w:color w:val="000000"/>
                <w:sz w:val="24"/>
                <w:shd w:val="clear" w:color="auto" w:fill="auto"/>
              </w:rPr>
            </w:pPr>
            <w:r>
              <w:rPr>
                <w:rFonts w:hint="eastAsia" w:ascii="宋体" w:hAnsi="宋体" w:cs="宋体"/>
                <w:b/>
                <w:color w:val="000000"/>
                <w:sz w:val="24"/>
                <w:shd w:val="clear" w:color="auto" w:fill="auto"/>
              </w:rPr>
              <w:t>条款号</w:t>
            </w:r>
          </w:p>
        </w:tc>
        <w:tc>
          <w:tcPr>
            <w:tcW w:w="1935" w:type="dxa"/>
            <w:vAlign w:val="center"/>
          </w:tcPr>
          <w:p>
            <w:pPr>
              <w:spacing w:line="400" w:lineRule="exact"/>
              <w:jc w:val="center"/>
              <w:rPr>
                <w:rFonts w:hint="eastAsia" w:ascii="宋体" w:hAnsi="宋体" w:cs="宋体"/>
                <w:b/>
                <w:color w:val="000000"/>
                <w:sz w:val="24"/>
                <w:shd w:val="clear" w:color="auto" w:fill="auto"/>
              </w:rPr>
            </w:pPr>
            <w:r>
              <w:rPr>
                <w:rFonts w:hint="eastAsia" w:ascii="宋体" w:hAnsi="宋体" w:cs="宋体"/>
                <w:b/>
                <w:color w:val="000000"/>
                <w:sz w:val="24"/>
                <w:shd w:val="clear" w:color="auto" w:fill="auto"/>
              </w:rPr>
              <w:t>条 款 名 称</w:t>
            </w:r>
          </w:p>
        </w:tc>
        <w:tc>
          <w:tcPr>
            <w:tcW w:w="6210" w:type="dxa"/>
            <w:vAlign w:val="center"/>
          </w:tcPr>
          <w:p>
            <w:pPr>
              <w:spacing w:line="400" w:lineRule="exact"/>
              <w:jc w:val="center"/>
              <w:rPr>
                <w:rFonts w:hint="eastAsia" w:ascii="宋体" w:hAnsi="宋体" w:cs="宋体"/>
                <w:b/>
                <w:color w:val="000000"/>
                <w:sz w:val="24"/>
                <w:shd w:val="clear" w:color="auto" w:fill="auto"/>
              </w:rPr>
            </w:pPr>
            <w:r>
              <w:rPr>
                <w:rFonts w:hint="eastAsia" w:ascii="宋体" w:hAnsi="宋体" w:cs="宋体"/>
                <w:b/>
                <w:color w:val="000000"/>
                <w:sz w:val="24"/>
                <w:shd w:val="clear" w:color="auto" w:fil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5" w:type="dxa"/>
            <w:vAlign w:val="center"/>
          </w:tcPr>
          <w:p>
            <w:pPr>
              <w:spacing w:line="400" w:lineRule="exact"/>
              <w:jc w:val="center"/>
              <w:rPr>
                <w:rFonts w:hint="eastAsia" w:ascii="宋体" w:hAnsi="宋体" w:cs="宋体"/>
                <w:color w:val="000000"/>
                <w:sz w:val="24"/>
                <w:shd w:val="clear" w:color="auto" w:fill="auto"/>
              </w:rPr>
            </w:pPr>
            <w:r>
              <w:rPr>
                <w:rFonts w:hint="eastAsia" w:ascii="宋体" w:hAnsi="宋体" w:cs="宋体"/>
                <w:color w:val="000000"/>
                <w:sz w:val="24"/>
                <w:shd w:val="clear" w:color="auto" w:fill="auto"/>
              </w:rPr>
              <w:t>1</w:t>
            </w:r>
          </w:p>
        </w:tc>
        <w:tc>
          <w:tcPr>
            <w:tcW w:w="1935" w:type="dxa"/>
            <w:vAlign w:val="top"/>
          </w:tcPr>
          <w:p>
            <w:pPr>
              <w:autoSpaceDE w:val="0"/>
              <w:autoSpaceDN w:val="0"/>
              <w:spacing w:before="96" w:line="360" w:lineRule="auto"/>
              <w:ind w:left="107" w:leftChars="0"/>
              <w:jc w:val="center"/>
              <w:rPr>
                <w:rFonts w:hint="eastAsia" w:ascii="宋体" w:hAnsi="宋体" w:eastAsia="宋体" w:cs="宋体"/>
                <w:bCs/>
                <w:sz w:val="24"/>
                <w:szCs w:val="24"/>
              </w:rPr>
            </w:pPr>
            <w:r>
              <w:rPr>
                <w:rFonts w:ascii="宋体" w:hAnsi="宋体" w:eastAsia="宋体" w:cs="宋体"/>
                <w:color w:val="auto"/>
                <w:kern w:val="0"/>
                <w:szCs w:val="21"/>
                <w:highlight w:val="none"/>
                <w:lang w:val="zh-CN" w:eastAsia="en-US" w:bidi="zh-CN"/>
              </w:rPr>
              <w:t>采购人</w:t>
            </w:r>
          </w:p>
        </w:tc>
        <w:tc>
          <w:tcPr>
            <w:tcW w:w="6210" w:type="dxa"/>
            <w:vAlign w:val="top"/>
          </w:tcPr>
          <w:p>
            <w:pPr>
              <w:autoSpaceDE w:val="0"/>
              <w:autoSpaceDN w:val="0"/>
              <w:spacing w:before="96" w:line="360" w:lineRule="auto"/>
              <w:ind w:left="108" w:leftChars="0"/>
              <w:jc w:val="left"/>
              <w:rPr>
                <w:rFonts w:hint="eastAsia" w:ascii="宋体" w:hAnsi="宋体" w:eastAsia="宋体" w:cs="宋体"/>
                <w:bCs/>
                <w:sz w:val="24"/>
                <w:szCs w:val="24"/>
              </w:rPr>
            </w:pPr>
            <w:r>
              <w:rPr>
                <w:rFonts w:hint="eastAsia" w:ascii="宋体" w:hAnsi="宋体" w:eastAsia="宋体" w:cs="宋体"/>
                <w:color w:val="auto"/>
                <w:kern w:val="0"/>
                <w:szCs w:val="21"/>
                <w:highlight w:val="none"/>
                <w:lang w:val="zh-CN" w:bidi="zh-CN"/>
              </w:rPr>
              <w:t xml:space="preserve">阜南县建筑工程质量建筑材料检测中心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exac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2</w:t>
            </w:r>
          </w:p>
        </w:tc>
        <w:tc>
          <w:tcPr>
            <w:tcW w:w="1935" w:type="dxa"/>
            <w:vAlign w:val="top"/>
          </w:tcPr>
          <w:p>
            <w:pPr>
              <w:autoSpaceDE w:val="0"/>
              <w:autoSpaceDN w:val="0"/>
              <w:spacing w:before="96" w:line="360" w:lineRule="auto"/>
              <w:ind w:left="107" w:leftChars="0"/>
              <w:jc w:val="center"/>
              <w:rPr>
                <w:rFonts w:hint="eastAsia" w:ascii="宋体" w:hAnsi="宋体" w:eastAsia="宋体" w:cs="宋体"/>
                <w:bCs/>
                <w:sz w:val="24"/>
                <w:szCs w:val="24"/>
                <w:lang w:eastAsia="zh-CN"/>
              </w:rPr>
            </w:pPr>
            <w:r>
              <w:rPr>
                <w:rFonts w:ascii="宋体" w:hAnsi="宋体" w:eastAsia="宋体" w:cs="宋体"/>
                <w:color w:val="auto"/>
                <w:kern w:val="0"/>
                <w:szCs w:val="21"/>
                <w:highlight w:val="none"/>
                <w:lang w:val="zh-CN" w:eastAsia="en-US" w:bidi="zh-CN"/>
              </w:rPr>
              <w:t>采购代理机构</w:t>
            </w:r>
          </w:p>
        </w:tc>
        <w:tc>
          <w:tcPr>
            <w:tcW w:w="6210" w:type="dxa"/>
            <w:vAlign w:val="top"/>
          </w:tcPr>
          <w:p>
            <w:pPr>
              <w:autoSpaceDE w:val="0"/>
              <w:autoSpaceDN w:val="0"/>
              <w:spacing w:before="96" w:line="360" w:lineRule="auto"/>
              <w:ind w:left="108" w:leftChars="0"/>
              <w:jc w:val="left"/>
              <w:rPr>
                <w:rFonts w:hint="eastAsia" w:ascii="宋体" w:hAnsi="宋体" w:eastAsia="宋体" w:cs="宋体"/>
                <w:bCs/>
                <w:sz w:val="24"/>
                <w:szCs w:val="24"/>
              </w:rPr>
            </w:pPr>
            <w:r>
              <w:rPr>
                <w:rFonts w:hint="eastAsia" w:ascii="宋体" w:hAnsi="宋体" w:eastAsia="宋体" w:cs="宋体"/>
                <w:color w:val="auto"/>
                <w:kern w:val="0"/>
                <w:szCs w:val="21"/>
                <w:highlight w:val="none"/>
                <w:lang w:val="zh-CN" w:bidi="zh-CN"/>
              </w:rPr>
              <w:t xml:space="preserve">阜南县奇卓咨询服务有限公司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阜南县建筑工程质量建筑材料检测中心新增设备项目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4</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项目地点</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阜南县建筑工程质量建筑材料检测中心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6</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工期</w:t>
            </w:r>
          </w:p>
        </w:tc>
        <w:tc>
          <w:tcPr>
            <w:tcW w:w="6210" w:type="dxa"/>
            <w:vAlign w:val="center"/>
          </w:tcPr>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7</w:t>
            </w:r>
          </w:p>
        </w:tc>
        <w:tc>
          <w:tcPr>
            <w:tcW w:w="1935" w:type="dxa"/>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工程质量</w:t>
            </w:r>
          </w:p>
        </w:tc>
        <w:tc>
          <w:tcPr>
            <w:tcW w:w="6210" w:type="dxa"/>
            <w:vAlign w:val="center"/>
          </w:tcPr>
          <w:p>
            <w:pPr>
              <w:jc w:val="left"/>
              <w:rPr>
                <w:rFonts w:hint="eastAsia" w:ascii="宋体" w:hAnsi="宋体" w:eastAsia="宋体" w:cs="宋体"/>
                <w:bCs/>
                <w:sz w:val="24"/>
                <w:szCs w:val="24"/>
              </w:rPr>
            </w:pPr>
            <w:bookmarkStart w:id="34" w:name="OLE_LINK6"/>
            <w:r>
              <w:rPr>
                <w:rFonts w:hint="eastAsia" w:ascii="宋体" w:hAnsi="宋体" w:eastAsia="宋体" w:cs="宋体"/>
                <w:bCs/>
                <w:sz w:val="24"/>
                <w:szCs w:val="24"/>
              </w:rPr>
              <w:t>合格</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3"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8</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供应商资质条件、</w:t>
            </w:r>
          </w:p>
          <w:p>
            <w:pPr>
              <w:jc w:val="center"/>
              <w:rPr>
                <w:rFonts w:hint="eastAsia" w:ascii="宋体" w:hAnsi="宋体" w:eastAsia="宋体" w:cs="宋体"/>
                <w:bCs/>
                <w:sz w:val="24"/>
                <w:szCs w:val="24"/>
              </w:rPr>
            </w:pPr>
            <w:r>
              <w:rPr>
                <w:rFonts w:hint="eastAsia" w:ascii="宋体" w:hAnsi="宋体" w:eastAsia="宋体" w:cs="宋体"/>
                <w:bCs/>
                <w:sz w:val="24"/>
                <w:szCs w:val="24"/>
              </w:rPr>
              <w:t>能力</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1、符合《中华人民共和国政府采购法》第二十二条规定；</w:t>
            </w:r>
          </w:p>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本项目不接受联合体谈判；</w:t>
            </w:r>
          </w:p>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供应商存在以下不良信用记录情形之一的，不得推荐为成交候选供应商，不得确定为成交供应商：</w:t>
            </w:r>
          </w:p>
          <w:p>
            <w:pPr>
              <w:jc w:val="left"/>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pPr>
              <w:jc w:val="left"/>
              <w:rPr>
                <w:rFonts w:hint="eastAsia" w:ascii="宋体" w:hAnsi="宋体" w:eastAsia="宋体" w:cs="宋体"/>
                <w:bCs/>
                <w:sz w:val="24"/>
                <w:szCs w:val="24"/>
              </w:rPr>
            </w:pPr>
            <w:r>
              <w:rPr>
                <w:rFonts w:hint="eastAsia" w:ascii="宋体" w:hAnsi="宋体" w:eastAsia="宋体" w:cs="宋体"/>
                <w:bCs/>
                <w:sz w:val="24"/>
                <w:szCs w:val="24"/>
              </w:rPr>
              <w:t>（2）供应商被工商行政管理部门列入企业经营异常名录的；</w:t>
            </w:r>
          </w:p>
          <w:p>
            <w:pPr>
              <w:jc w:val="left"/>
              <w:rPr>
                <w:rFonts w:hint="eastAsia" w:ascii="宋体" w:hAnsi="宋体" w:eastAsia="宋体" w:cs="宋体"/>
                <w:bCs/>
                <w:sz w:val="24"/>
                <w:szCs w:val="24"/>
              </w:rPr>
            </w:pPr>
            <w:r>
              <w:rPr>
                <w:rFonts w:hint="eastAsia" w:ascii="宋体" w:hAnsi="宋体" w:eastAsia="宋体" w:cs="宋体"/>
                <w:bCs/>
                <w:sz w:val="24"/>
                <w:szCs w:val="24"/>
              </w:rPr>
              <w:t>（3）供应商被税务部门列入重大税收违法案件当事人名单的；</w:t>
            </w:r>
          </w:p>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rPr>
              <w:t>（4）供应商被政府采购监管部门列入政府采购严重违法失信行为记录名单的</w:t>
            </w:r>
            <w:r>
              <w:rPr>
                <w:rFonts w:hint="eastAsia" w:ascii="宋体" w:hAnsi="宋体" w:eastAsia="宋体" w:cs="宋体"/>
                <w:bCs/>
                <w:sz w:val="24"/>
                <w:szCs w:val="24"/>
                <w:lang w:eastAsia="zh-CN"/>
              </w:rPr>
              <w:t>；</w:t>
            </w:r>
          </w:p>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本次招标要求</w:t>
            </w:r>
            <w:r>
              <w:rPr>
                <w:rFonts w:hint="eastAsia" w:ascii="宋体" w:hAnsi="宋体" w:eastAsia="宋体" w:cs="宋体"/>
                <w:bCs/>
                <w:sz w:val="24"/>
                <w:szCs w:val="24"/>
                <w:lang w:val="en-US" w:eastAsia="zh-CN"/>
              </w:rPr>
              <w:t>投标人：须具备有效的营业执照。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eastAsia="zh-CN"/>
              </w:rPr>
            </w:pPr>
            <w:r>
              <w:rPr>
                <w:rFonts w:hint="eastAsia" w:ascii="宋体" w:hAnsi="宋体" w:cs="宋体"/>
                <w:color w:val="000000"/>
                <w:sz w:val="24"/>
                <w:shd w:val="clear" w:color="auto" w:fill="auto"/>
                <w:lang w:val="en-US" w:eastAsia="zh-CN"/>
              </w:rPr>
              <w:t>9</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是否接受联合响应</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10</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费用承担</w:t>
            </w:r>
          </w:p>
        </w:tc>
        <w:tc>
          <w:tcPr>
            <w:tcW w:w="6210" w:type="dxa"/>
            <w:vAlign w:val="center"/>
          </w:tcPr>
          <w:p>
            <w:pPr>
              <w:spacing w:line="400" w:lineRule="exact"/>
              <w:rPr>
                <w:rFonts w:hint="default" w:ascii="宋体" w:hAnsi="宋体"/>
                <w:color w:val="000000"/>
                <w:sz w:val="24"/>
                <w:szCs w:val="24"/>
                <w:lang w:val="en-US" w:eastAsia="zh-CN"/>
              </w:rPr>
            </w:pPr>
            <w:r>
              <w:rPr>
                <w:rFonts w:hint="eastAsia" w:ascii="宋体" w:hAnsi="宋体" w:eastAsia="宋体" w:cs="宋体"/>
                <w:bCs/>
                <w:sz w:val="24"/>
                <w:szCs w:val="24"/>
              </w:rPr>
              <w:t>招标代理服务费：</w:t>
            </w:r>
            <w:r>
              <w:rPr>
                <w:rFonts w:hint="eastAsia" w:ascii="宋体" w:hAnsi="宋体"/>
                <w:color w:val="000000"/>
                <w:sz w:val="24"/>
                <w:szCs w:val="24"/>
                <w:lang w:val="en-US" w:eastAsia="zh-CN"/>
              </w:rPr>
              <w:t>3000元</w:t>
            </w:r>
          </w:p>
          <w:p>
            <w:pPr>
              <w:jc w:val="left"/>
              <w:rPr>
                <w:rFonts w:hint="eastAsia" w:ascii="宋体" w:hAnsi="宋体" w:eastAsia="宋体" w:cs="宋体"/>
                <w:bCs/>
                <w:sz w:val="24"/>
                <w:szCs w:val="24"/>
              </w:rPr>
            </w:pPr>
            <w:r>
              <w:rPr>
                <w:rFonts w:hint="eastAsia" w:ascii="宋体" w:hAnsi="宋体" w:eastAsia="宋体" w:cs="宋体"/>
                <w:bCs/>
                <w:sz w:val="24"/>
                <w:szCs w:val="24"/>
              </w:rPr>
              <w:t>收取方式：现金或转账，成交人在领取中标通知书</w:t>
            </w:r>
            <w:r>
              <w:rPr>
                <w:rFonts w:hint="eastAsia" w:ascii="宋体" w:hAnsi="宋体" w:eastAsia="宋体" w:cs="宋体"/>
                <w:bCs/>
                <w:sz w:val="24"/>
                <w:szCs w:val="24"/>
                <w:lang w:val="en-US" w:eastAsia="zh-CN"/>
              </w:rPr>
              <w:t>前</w:t>
            </w:r>
            <w:r>
              <w:rPr>
                <w:rFonts w:hint="eastAsia" w:ascii="宋体" w:hAnsi="宋体" w:eastAsia="宋体" w:cs="宋体"/>
                <w:bCs/>
                <w:sz w:val="24"/>
                <w:szCs w:val="24"/>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11</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踏勘现场</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12</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响应预备会</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13</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  包</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14</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偏  离</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15</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构成竞争性谈判文件的其他材料</w:t>
            </w:r>
          </w:p>
        </w:tc>
        <w:tc>
          <w:tcPr>
            <w:tcW w:w="6210" w:type="dxa"/>
            <w:vAlign w:val="center"/>
          </w:tcPr>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rPr>
              <w:t>竞争性谈判文件的澄清、修改及答疑</w:t>
            </w:r>
            <w:r>
              <w:rPr>
                <w:rFonts w:hint="eastAsia" w:ascii="宋体" w:hAnsi="宋体" w:eastAsia="宋体" w:cs="宋体"/>
                <w:bCs/>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bCs/>
                <w:color w:val="000000"/>
                <w:sz w:val="24"/>
                <w:shd w:val="clear" w:color="auto" w:fill="auto"/>
                <w:lang w:val="en-US" w:eastAsia="zh-CN"/>
              </w:rPr>
              <w:t>16</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供应商对竞争性谈判文件提出异议的截止时间</w:t>
            </w:r>
          </w:p>
        </w:tc>
        <w:tc>
          <w:tcPr>
            <w:tcW w:w="6210" w:type="dxa"/>
            <w:vAlign w:val="center"/>
          </w:tcPr>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rPr>
              <w:t>响应截止时间3天前。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bCs/>
                <w:color w:val="000000"/>
                <w:sz w:val="24"/>
                <w:shd w:val="clear" w:color="auto" w:fill="auto"/>
                <w:lang w:val="en-US" w:eastAsia="zh-CN"/>
              </w:rPr>
              <w:t>17</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采购人对供应商提出异议的答复</w:t>
            </w:r>
          </w:p>
        </w:tc>
        <w:tc>
          <w:tcPr>
            <w:tcW w:w="6210" w:type="dxa"/>
            <w:vAlign w:val="center"/>
          </w:tcPr>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见阜南县建筑工程质量建筑材料检测中心公示栏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bCs/>
                <w:color w:val="000000"/>
                <w:sz w:val="24"/>
                <w:shd w:val="clear" w:color="auto" w:fill="auto"/>
                <w:lang w:val="en-US" w:eastAsia="zh-CN"/>
              </w:rPr>
              <w:t>18</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竞争性谈判文件的澄清及修改</w:t>
            </w:r>
          </w:p>
        </w:tc>
        <w:tc>
          <w:tcPr>
            <w:tcW w:w="6210" w:type="dxa"/>
            <w:vAlign w:val="center"/>
          </w:tcPr>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招</w:t>
            </w:r>
            <w:r>
              <w:rPr>
                <w:rFonts w:hint="eastAsia" w:ascii="宋体" w:hAnsi="宋体" w:eastAsia="宋体" w:cs="宋体"/>
                <w:bCs/>
                <w:sz w:val="24"/>
                <w:szCs w:val="24"/>
              </w:rPr>
              <w:t>采购人</w:t>
            </w:r>
            <w:r>
              <w:rPr>
                <w:rFonts w:hint="eastAsia" w:ascii="宋体" w:hAnsi="宋体" w:eastAsia="宋体" w:cs="宋体"/>
                <w:bCs/>
                <w:sz w:val="24"/>
                <w:szCs w:val="24"/>
                <w:lang w:val="en-US" w:eastAsia="zh-CN"/>
              </w:rPr>
              <w:t>对已发出的</w:t>
            </w:r>
            <w:r>
              <w:rPr>
                <w:rFonts w:hint="eastAsia" w:ascii="宋体" w:hAnsi="宋体" w:eastAsia="宋体" w:cs="宋体"/>
                <w:bCs/>
                <w:sz w:val="24"/>
                <w:szCs w:val="24"/>
              </w:rPr>
              <w:t>竞争性谈判文件</w:t>
            </w:r>
            <w:r>
              <w:rPr>
                <w:rFonts w:hint="eastAsia" w:ascii="宋体" w:hAnsi="宋体" w:eastAsia="宋体" w:cs="宋体"/>
                <w:bCs/>
                <w:sz w:val="24"/>
                <w:szCs w:val="24"/>
                <w:lang w:val="en-US" w:eastAsia="zh-CN"/>
              </w:rPr>
              <w:t>进行的必要澄清或者修改的内容可能影响响应文件编制的应在投标截止时间5天前，以书面形式发出，距投标截止时间不足3天，相应延长投标截止时间。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19</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供应商确认收到竞争性谈判文件澄清的时间</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20</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供应商确认收到竞争性谈判文件修改的时间</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21</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构成响应文件的其他材料</w:t>
            </w:r>
          </w:p>
        </w:tc>
        <w:tc>
          <w:tcPr>
            <w:tcW w:w="621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22</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是否接受调价函</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23</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响应有效期</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响应文件提交</w:t>
            </w:r>
            <w:r>
              <w:rPr>
                <w:rFonts w:hint="eastAsia" w:ascii="宋体" w:hAnsi="宋体" w:eastAsia="宋体" w:cs="宋体"/>
                <w:bCs/>
                <w:sz w:val="24"/>
                <w:szCs w:val="24"/>
              </w:rPr>
              <w:t>截止之日起</w:t>
            </w:r>
            <w:r>
              <w:rPr>
                <w:rFonts w:hint="eastAsia" w:ascii="宋体" w:hAnsi="宋体" w:eastAsia="宋体" w:cs="宋体"/>
                <w:bCs/>
                <w:sz w:val="24"/>
                <w:szCs w:val="24"/>
                <w:lang w:val="en-US" w:eastAsia="zh-CN"/>
              </w:rPr>
              <w:t>90</w:t>
            </w:r>
            <w:r>
              <w:rPr>
                <w:rFonts w:hint="eastAsia" w:ascii="宋体" w:hAnsi="宋体" w:eastAsia="宋体" w:cs="宋体"/>
                <w:bCs/>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24</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谈判保证金</w:t>
            </w:r>
          </w:p>
        </w:tc>
        <w:tc>
          <w:tcPr>
            <w:tcW w:w="6210" w:type="dxa"/>
            <w:vAlign w:val="center"/>
          </w:tcPr>
          <w:p>
            <w:pPr>
              <w:jc w:val="left"/>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谈判</w:t>
            </w:r>
            <w:r>
              <w:rPr>
                <w:rFonts w:hint="eastAsia" w:ascii="宋体" w:hAnsi="宋体" w:eastAsia="宋体" w:cs="宋体"/>
                <w:bCs/>
                <w:sz w:val="24"/>
                <w:szCs w:val="24"/>
                <w:lang w:val="zh-CN"/>
              </w:rPr>
              <w:t>保证金：</w:t>
            </w:r>
            <w:r>
              <w:rPr>
                <w:rFonts w:hint="eastAsia" w:ascii="宋体" w:hAnsi="宋体" w:eastAsia="宋体" w:cs="宋体"/>
                <w:bCs/>
                <w:sz w:val="24"/>
                <w:szCs w:val="24"/>
                <w:lang w:val="en-US" w:eastAsia="zh-CN"/>
              </w:rPr>
              <w:t>投标</w:t>
            </w:r>
            <w:r>
              <w:rPr>
                <w:rFonts w:hint="eastAsia" w:ascii="宋体" w:hAnsi="宋体" w:eastAsia="宋体" w:cs="宋体"/>
                <w:bCs/>
                <w:sz w:val="24"/>
                <w:szCs w:val="24"/>
                <w:lang w:val="zh-CN"/>
              </w:rPr>
              <w:t>保证金由供应商开标现场提供；</w:t>
            </w:r>
          </w:p>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rPr>
              <w:t>谈判保证金的金额：</w:t>
            </w:r>
            <w:r>
              <w:rPr>
                <w:rFonts w:hint="eastAsia" w:ascii="宋体" w:hAnsi="宋体" w:cs="宋体"/>
                <w:bCs/>
                <w:color w:val="000000"/>
                <w:sz w:val="24"/>
                <w:szCs w:val="24"/>
                <w:lang w:val="en-US" w:eastAsia="zh-CN"/>
              </w:rPr>
              <w:t>零元（小写：¥0.00）</w:t>
            </w:r>
          </w:p>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注：使用信封包装，注明单位、随投标文件一并交纳。</w:t>
            </w:r>
          </w:p>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保证金的退还方式：中标候选单位投标保证金在公示期结束后无异议退还（其中排名第一的在领取中标通知书、交纳履约保证金，签订施工合同后退还），未中标的投标人投标保证金开标结束后退还。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25</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是否允许递交备</w:t>
            </w:r>
          </w:p>
          <w:p>
            <w:pPr>
              <w:jc w:val="center"/>
              <w:rPr>
                <w:rFonts w:hint="eastAsia" w:ascii="宋体" w:hAnsi="宋体" w:eastAsia="宋体" w:cs="宋体"/>
                <w:bCs/>
                <w:sz w:val="24"/>
                <w:szCs w:val="24"/>
              </w:rPr>
            </w:pPr>
            <w:r>
              <w:rPr>
                <w:rFonts w:hint="eastAsia" w:ascii="宋体" w:hAnsi="宋体" w:eastAsia="宋体" w:cs="宋体"/>
                <w:bCs/>
                <w:sz w:val="24"/>
                <w:szCs w:val="24"/>
              </w:rPr>
              <w:t>选响应方案</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26</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签字或盖章要求</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符合竞争性谈判文件要求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27</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响应文件副本份数</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纸质版文件：正本1份,副本</w:t>
            </w:r>
            <w:r>
              <w:rPr>
                <w:rFonts w:hint="eastAsia" w:ascii="宋体" w:hAnsi="宋体" w:eastAsia="宋体" w:cs="宋体"/>
                <w:bCs/>
                <w:sz w:val="24"/>
                <w:szCs w:val="24"/>
                <w:lang w:val="en-US" w:eastAsia="zh-CN"/>
              </w:rPr>
              <w:t>3</w:t>
            </w:r>
            <w:r>
              <w:rPr>
                <w:rFonts w:hint="eastAsia" w:ascii="宋体" w:hAnsi="宋体" w:eastAsia="宋体" w:cs="宋体"/>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28</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是否要求供应商在递交响应文件时，同时递交响应文件电子版</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29</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封套上写明</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 xml:space="preserve">采购人名称：                             </w:t>
            </w:r>
          </w:p>
          <w:p>
            <w:pPr>
              <w:jc w:val="left"/>
              <w:rPr>
                <w:rFonts w:hint="eastAsia" w:ascii="宋体" w:hAnsi="宋体" w:eastAsia="宋体" w:cs="宋体"/>
                <w:bCs/>
                <w:sz w:val="24"/>
                <w:szCs w:val="24"/>
              </w:rPr>
            </w:pPr>
            <w:r>
              <w:rPr>
                <w:rFonts w:hint="eastAsia" w:ascii="宋体" w:hAnsi="宋体" w:eastAsia="宋体" w:cs="宋体"/>
                <w:bCs/>
                <w:sz w:val="24"/>
                <w:szCs w:val="24"/>
              </w:rPr>
              <w:t xml:space="preserve">供应商名称：                             </w:t>
            </w:r>
          </w:p>
          <w:p>
            <w:pPr>
              <w:jc w:val="left"/>
              <w:rPr>
                <w:rFonts w:hint="eastAsia" w:ascii="宋体" w:hAnsi="宋体" w:eastAsia="宋体" w:cs="宋体"/>
                <w:bCs/>
                <w:sz w:val="24"/>
                <w:szCs w:val="24"/>
              </w:rPr>
            </w:pPr>
            <w:r>
              <w:rPr>
                <w:rFonts w:hint="eastAsia" w:ascii="宋体" w:hAnsi="宋体" w:eastAsia="宋体" w:cs="宋体"/>
                <w:bCs/>
                <w:sz w:val="24"/>
                <w:szCs w:val="24"/>
              </w:rPr>
              <w:t xml:space="preserve">                        (项目名称)响应文件</w:t>
            </w:r>
          </w:p>
          <w:p>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项目编号</w:t>
            </w:r>
          </w:p>
          <w:p>
            <w:pPr>
              <w:ind w:firstLine="960" w:firstLineChars="400"/>
              <w:jc w:val="left"/>
              <w:rPr>
                <w:rFonts w:hint="eastAsia" w:ascii="宋体" w:hAnsi="宋体" w:eastAsia="宋体" w:cs="宋体"/>
                <w:bCs/>
                <w:sz w:val="24"/>
                <w:szCs w:val="24"/>
              </w:rPr>
            </w:pPr>
            <w:r>
              <w:rPr>
                <w:rFonts w:hint="eastAsia" w:ascii="宋体" w:hAnsi="宋体" w:eastAsia="宋体" w:cs="宋体"/>
                <w:bCs/>
                <w:sz w:val="24"/>
                <w:szCs w:val="24"/>
              </w:rPr>
              <w:t>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15" w:type="dxa"/>
            <w:vAlign w:val="center"/>
          </w:tcPr>
          <w:p>
            <w:pPr>
              <w:spacing w:line="400" w:lineRule="exact"/>
              <w:jc w:val="center"/>
              <w:rPr>
                <w:rFonts w:hint="eastAsia" w:ascii="宋体" w:hAnsi="宋体" w:cs="宋体" w:eastAsiaTheme="minorEastAsia"/>
                <w:bCs/>
                <w:color w:val="000000"/>
                <w:sz w:val="24"/>
                <w:shd w:val="clear" w:color="auto" w:fill="auto"/>
                <w:lang w:val="en-US" w:eastAsia="zh-CN"/>
              </w:rPr>
            </w:pPr>
            <w:r>
              <w:rPr>
                <w:rFonts w:hint="eastAsia" w:ascii="宋体" w:hAnsi="宋体" w:cs="宋体"/>
                <w:color w:val="000000"/>
                <w:sz w:val="24"/>
                <w:shd w:val="clear" w:color="auto" w:fill="auto"/>
                <w:lang w:val="en-US" w:eastAsia="zh-CN"/>
              </w:rPr>
              <w:t>30</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响应文件递交、截止时间</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lang w:eastAsia="zh-CN"/>
              </w:rPr>
              <w:t>2024年10月23日</w:t>
            </w:r>
            <w:r>
              <w:rPr>
                <w:rFonts w:hint="eastAsia" w:ascii="宋体" w:hAnsi="宋体" w:eastAsia="宋体" w:cs="宋体"/>
                <w:bCs/>
                <w:sz w:val="24"/>
                <w:szCs w:val="24"/>
                <w:lang w:val="en-US" w:eastAsia="zh-CN"/>
              </w:rPr>
              <w:t>16</w:t>
            </w:r>
            <w:r>
              <w:rPr>
                <w:rFonts w:hint="eastAsia" w:ascii="宋体" w:hAnsi="宋体" w:eastAsia="宋体" w:cs="宋体"/>
                <w:bCs/>
                <w:sz w:val="24"/>
                <w:szCs w:val="24"/>
                <w:lang w:eastAsia="zh-CN"/>
              </w:rPr>
              <w:t>点00分</w:t>
            </w:r>
            <w:r>
              <w:rPr>
                <w:rFonts w:hint="eastAsia" w:ascii="宋体" w:hAnsi="宋体" w:eastAsia="宋体" w:cs="宋体"/>
                <w:bCs/>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bCs/>
                <w:color w:val="000000"/>
                <w:sz w:val="24"/>
                <w:shd w:val="clear" w:color="auto" w:fill="auto"/>
                <w:lang w:val="en-US" w:eastAsia="zh-CN"/>
              </w:rPr>
              <w:t>31</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递交响应文件地点</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color w:val="000000"/>
                <w:kern w:val="0"/>
                <w:sz w:val="24"/>
                <w:szCs w:val="24"/>
                <w:lang w:eastAsia="zh-CN"/>
              </w:rPr>
              <w:t>阜南县住房和城乡建设局三楼会议室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bCs/>
                <w:color w:val="000000"/>
                <w:sz w:val="24"/>
                <w:shd w:val="clear" w:color="auto" w:fill="auto"/>
                <w:lang w:val="en-US" w:eastAsia="zh-CN"/>
              </w:rPr>
              <w:t>32</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是否退还响应文件</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33</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谈判时间和地点</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1、谈判时间：</w:t>
            </w:r>
            <w:r>
              <w:rPr>
                <w:rFonts w:hint="eastAsia" w:ascii="宋体" w:hAnsi="宋体" w:eastAsia="宋体" w:cs="宋体"/>
                <w:bCs/>
                <w:sz w:val="24"/>
                <w:szCs w:val="24"/>
                <w:lang w:eastAsia="zh-CN"/>
              </w:rPr>
              <w:t>2024年10月23日</w:t>
            </w:r>
            <w:r>
              <w:rPr>
                <w:rFonts w:hint="eastAsia" w:ascii="宋体" w:hAnsi="宋体" w:eastAsia="宋体" w:cs="宋体"/>
                <w:bCs/>
                <w:sz w:val="24"/>
                <w:szCs w:val="24"/>
                <w:lang w:val="en-US" w:eastAsia="zh-CN"/>
              </w:rPr>
              <w:t>16</w:t>
            </w:r>
            <w:r>
              <w:rPr>
                <w:rFonts w:hint="eastAsia" w:ascii="宋体" w:hAnsi="宋体" w:eastAsia="宋体" w:cs="宋体"/>
                <w:bCs/>
                <w:sz w:val="24"/>
                <w:szCs w:val="24"/>
                <w:lang w:eastAsia="zh-CN"/>
              </w:rPr>
              <w:t>点00分；</w:t>
            </w:r>
          </w:p>
          <w:p>
            <w:pPr>
              <w:jc w:val="left"/>
              <w:rPr>
                <w:rFonts w:hint="eastAsia" w:ascii="宋体" w:hAnsi="宋体" w:eastAsia="宋体" w:cs="宋体"/>
                <w:bCs/>
                <w:sz w:val="24"/>
                <w:szCs w:val="24"/>
              </w:rPr>
            </w:pPr>
            <w:r>
              <w:rPr>
                <w:rFonts w:hint="eastAsia" w:ascii="宋体" w:hAnsi="宋体" w:eastAsia="宋体" w:cs="宋体"/>
                <w:bCs/>
                <w:sz w:val="24"/>
                <w:szCs w:val="24"/>
              </w:rPr>
              <w:t>2、谈判地点：</w:t>
            </w:r>
            <w:r>
              <w:rPr>
                <w:rFonts w:hint="eastAsia" w:ascii="宋体" w:hAnsi="宋体" w:eastAsia="宋体" w:cs="宋体"/>
                <w:color w:val="000000"/>
                <w:kern w:val="0"/>
                <w:sz w:val="24"/>
                <w:szCs w:val="24"/>
                <w:lang w:eastAsia="zh-CN"/>
              </w:rPr>
              <w:t>阜南县住房和城乡建设局三楼会议室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34</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谈判顺序</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密封情况检查：供应商检查</w:t>
            </w:r>
          </w:p>
          <w:p>
            <w:pPr>
              <w:jc w:val="left"/>
              <w:rPr>
                <w:rFonts w:hint="eastAsia" w:ascii="宋体" w:hAnsi="宋体" w:eastAsia="宋体" w:cs="宋体"/>
                <w:bCs/>
                <w:sz w:val="24"/>
                <w:szCs w:val="24"/>
              </w:rPr>
            </w:pPr>
            <w:r>
              <w:rPr>
                <w:rFonts w:hint="eastAsia" w:ascii="宋体" w:hAnsi="宋体" w:eastAsia="宋体" w:cs="宋体"/>
                <w:bCs/>
                <w:sz w:val="24"/>
                <w:szCs w:val="24"/>
              </w:rPr>
              <w:t>谈判顺序：按响应文件递交的先后顺序进行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35</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人员到场</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采购人邀请所有</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的法定代表人携带本人身份证或委托代理人携带本人身份证、授权委托书参加开标会。未通过核验的，采购人拒绝接收其响应文件。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36</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谈判小组的组建</w:t>
            </w:r>
          </w:p>
        </w:tc>
        <w:tc>
          <w:tcPr>
            <w:tcW w:w="6210"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谈判小组构成：</w:t>
            </w:r>
            <w:r>
              <w:rPr>
                <w:rFonts w:hint="eastAsia" w:ascii="宋体" w:hAnsi="宋体" w:eastAsia="宋体" w:cs="宋体"/>
                <w:bCs/>
                <w:sz w:val="24"/>
                <w:szCs w:val="24"/>
                <w:lang w:val="en-US" w:eastAsia="zh-CN"/>
              </w:rPr>
              <w:t>3</w:t>
            </w:r>
            <w:r>
              <w:rPr>
                <w:rFonts w:hint="eastAsia" w:ascii="宋体" w:hAnsi="宋体" w:eastAsia="宋体" w:cs="宋体"/>
                <w:bCs/>
                <w:sz w:val="24"/>
                <w:szCs w:val="24"/>
              </w:rPr>
              <w:t>人及以上单数。</w:t>
            </w:r>
          </w:p>
          <w:p>
            <w:pPr>
              <w:jc w:val="left"/>
              <w:rPr>
                <w:rFonts w:hint="eastAsia" w:ascii="宋体" w:hAnsi="宋体" w:eastAsia="宋体" w:cs="宋体"/>
                <w:bCs/>
                <w:sz w:val="24"/>
                <w:szCs w:val="24"/>
              </w:rPr>
            </w:pPr>
            <w:r>
              <w:rPr>
                <w:rFonts w:hint="eastAsia" w:ascii="宋体" w:hAnsi="宋体" w:eastAsia="宋体" w:cs="宋体"/>
                <w:bCs/>
                <w:sz w:val="24"/>
                <w:szCs w:val="24"/>
              </w:rPr>
              <w:t>谈判专家确定方式：随机抽取。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37</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履约担保</w:t>
            </w:r>
          </w:p>
        </w:tc>
        <w:tc>
          <w:tcPr>
            <w:tcW w:w="6210" w:type="dxa"/>
            <w:vAlign w:val="center"/>
          </w:tcPr>
          <w:p>
            <w:pPr>
              <w:jc w:val="left"/>
              <w:rPr>
                <w:rFonts w:hint="eastAsia" w:ascii="宋体" w:hAnsi="宋体" w:eastAsia="宋体" w:cs="宋体"/>
                <w:bCs/>
                <w:sz w:val="24"/>
                <w:szCs w:val="24"/>
                <w:lang w:eastAsia="zh-CN"/>
              </w:rPr>
            </w:pPr>
            <w:r>
              <w:rPr>
                <w:rFonts w:hint="eastAsia" w:ascii="宋体" w:hAnsi="宋体" w:eastAsia="宋体" w:cs="宋体"/>
                <w:bCs/>
                <w:sz w:val="24"/>
                <w:szCs w:val="24"/>
              </w:rPr>
              <w:t>履约保证金：</w:t>
            </w:r>
            <w:r>
              <w:rPr>
                <w:rFonts w:hint="eastAsia" w:ascii="宋体" w:hAnsi="宋体" w:eastAsia="宋体" w:cs="宋体"/>
                <w:bCs/>
                <w:sz w:val="24"/>
                <w:szCs w:val="24"/>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38</w:t>
            </w:r>
          </w:p>
        </w:tc>
        <w:tc>
          <w:tcPr>
            <w:tcW w:w="19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最高响应上限</w:t>
            </w:r>
          </w:p>
        </w:tc>
        <w:tc>
          <w:tcPr>
            <w:tcW w:w="6210" w:type="dxa"/>
            <w:vAlign w:val="center"/>
          </w:tcPr>
          <w:p>
            <w:pPr>
              <w:jc w:val="left"/>
              <w:rPr>
                <w:rFonts w:hint="default" w:ascii="宋体" w:hAnsi="宋体" w:eastAsia="宋体" w:cs="宋体"/>
                <w:bCs/>
                <w:sz w:val="24"/>
                <w:szCs w:val="24"/>
                <w:lang w:val="en-US" w:eastAsia="zh-CN"/>
              </w:rPr>
            </w:pPr>
            <w:r>
              <w:rPr>
                <w:rFonts w:hint="eastAsia" w:ascii="宋体" w:hAnsi="宋体" w:eastAsia="宋体" w:cs="宋体"/>
                <w:color w:val="000000"/>
                <w:sz w:val="24"/>
                <w:szCs w:val="24"/>
              </w:rPr>
              <w:t>同响应文件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39</w:t>
            </w:r>
          </w:p>
        </w:tc>
        <w:tc>
          <w:tcPr>
            <w:tcW w:w="8145" w:type="dxa"/>
            <w:gridSpan w:val="2"/>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b/>
            </w:r>
            <w:r>
              <w:rPr>
                <w:rFonts w:hint="eastAsia" w:ascii="宋体" w:hAnsi="宋体" w:eastAsia="宋体" w:cs="宋体"/>
                <w:bCs/>
                <w:sz w:val="24"/>
                <w:szCs w:val="24"/>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trPr>
        <w:tc>
          <w:tcPr>
            <w:tcW w:w="915" w:type="dxa"/>
            <w:vAlign w:val="center"/>
          </w:tcPr>
          <w:p>
            <w:pPr>
              <w:spacing w:line="400" w:lineRule="exact"/>
              <w:jc w:val="center"/>
              <w:rPr>
                <w:rFonts w:hint="eastAsia" w:ascii="宋体" w:hAnsi="宋体" w:cs="宋体" w:eastAsiaTheme="minorEastAsia"/>
                <w:color w:val="000000"/>
                <w:sz w:val="24"/>
                <w:shd w:val="clear" w:color="auto" w:fill="auto"/>
                <w:lang w:val="en-US" w:eastAsia="zh-CN"/>
              </w:rPr>
            </w:pPr>
            <w:r>
              <w:rPr>
                <w:rFonts w:hint="eastAsia" w:ascii="宋体" w:hAnsi="宋体" w:cs="宋体"/>
                <w:color w:val="000000"/>
                <w:sz w:val="24"/>
                <w:shd w:val="clear" w:color="auto" w:fill="auto"/>
                <w:lang w:val="en-US" w:eastAsia="zh-CN"/>
              </w:rPr>
              <w:t>40</w:t>
            </w:r>
          </w:p>
        </w:tc>
        <w:tc>
          <w:tcPr>
            <w:tcW w:w="8145" w:type="dxa"/>
            <w:gridSpan w:val="2"/>
            <w:vAlign w:val="center"/>
          </w:tcPr>
          <w:p>
            <w:pPr>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本项目采用经评审最低价法，竞谈小组依据本章评标标准规定对投标文件进行评审，各供应商要注重诚信，合理报价，对于投标报价被谈判小组认定为不具备竞争性的，可要求投标人继续竞价</w:t>
            </w:r>
            <w:r>
              <w:rPr>
                <w:rFonts w:hint="eastAsia" w:ascii="宋体" w:hAnsi="宋体" w:eastAsia="宋体" w:cs="宋体"/>
                <w:bCs/>
                <w:sz w:val="24"/>
                <w:szCs w:val="24"/>
                <w:lang w:eastAsia="zh-CN"/>
              </w:rPr>
              <w:t>，允许</w:t>
            </w:r>
            <w:r>
              <w:rPr>
                <w:rFonts w:hint="eastAsia" w:ascii="宋体" w:hAnsi="宋体" w:eastAsia="宋体" w:cs="宋体"/>
                <w:bCs/>
                <w:sz w:val="24"/>
                <w:szCs w:val="24"/>
                <w:lang w:val="en-US" w:eastAsia="zh-CN"/>
              </w:rPr>
              <w:t>多轮</w:t>
            </w:r>
            <w:r>
              <w:rPr>
                <w:rFonts w:hint="eastAsia" w:ascii="宋体" w:hAnsi="宋体" w:eastAsia="宋体" w:cs="宋体"/>
                <w:bCs/>
                <w:sz w:val="24"/>
                <w:szCs w:val="24"/>
                <w:lang w:eastAsia="zh-CN"/>
              </w:rPr>
              <w:t>竞价，报价单位的第N+1轮报价应低于自已的第N轮报价。报价后</w:t>
            </w:r>
            <w:r>
              <w:rPr>
                <w:rFonts w:hint="eastAsia" w:ascii="宋体" w:hAnsi="宋体" w:eastAsia="宋体" w:cs="宋体"/>
                <w:bCs/>
                <w:sz w:val="24"/>
                <w:szCs w:val="24"/>
              </w:rPr>
              <w:t>谈判小组认定为</w:t>
            </w:r>
            <w:r>
              <w:rPr>
                <w:rFonts w:hint="eastAsia" w:ascii="宋体" w:hAnsi="宋体" w:eastAsia="宋体" w:cs="宋体"/>
                <w:bCs/>
                <w:sz w:val="24"/>
                <w:szCs w:val="24"/>
                <w:lang w:eastAsia="zh-CN"/>
              </w:rPr>
              <w:t>仍</w:t>
            </w:r>
            <w:r>
              <w:rPr>
                <w:rFonts w:hint="eastAsia" w:ascii="宋体" w:hAnsi="宋体" w:eastAsia="宋体" w:cs="宋体"/>
                <w:bCs/>
                <w:sz w:val="24"/>
                <w:szCs w:val="24"/>
              </w:rPr>
              <w:t>不具备竞争性的</w:t>
            </w:r>
            <w:r>
              <w:rPr>
                <w:rFonts w:hint="eastAsia" w:ascii="宋体" w:hAnsi="宋体" w:eastAsia="宋体" w:cs="宋体"/>
                <w:bCs/>
                <w:sz w:val="24"/>
                <w:szCs w:val="24"/>
                <w:lang w:eastAsia="zh-CN"/>
              </w:rPr>
              <w:t>，可否决其所有投标。</w:t>
            </w:r>
          </w:p>
          <w:p>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注：如本要求与竞谈文件其他条款不一致时，以本要求为准。</w:t>
            </w:r>
          </w:p>
          <w:p>
            <w:pPr>
              <w:jc w:val="center"/>
              <w:rPr>
                <w:rFonts w:hint="eastAsia" w:ascii="宋体" w:hAnsi="宋体" w:eastAsia="宋体" w:cs="宋体"/>
                <w:bCs/>
                <w:sz w:val="24"/>
                <w:szCs w:val="24"/>
              </w:rPr>
            </w:pPr>
          </w:p>
        </w:tc>
      </w:tr>
      <w:bookmarkEnd w:id="32"/>
      <w:bookmarkEnd w:id="33"/>
    </w:tbl>
    <w:p>
      <w:pPr>
        <w:spacing w:line="300" w:lineRule="auto"/>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p>
    <w:p>
      <w:pPr>
        <w:spacing w:line="300" w:lineRule="auto"/>
        <w:ind w:firstLine="3614" w:firstLineChars="1200"/>
        <w:jc w:val="both"/>
        <w:rPr>
          <w:rFonts w:hint="eastAsia" w:ascii="宋体" w:hAnsi="宋体" w:cs="宋体" w:eastAsiaTheme="minorEastAsia"/>
          <w:b/>
          <w:kern w:val="44"/>
          <w:sz w:val="30"/>
          <w:szCs w:val="30"/>
          <w:lang w:val="en-US" w:eastAsia="zh-CN" w:bidi="ar-SA"/>
        </w:rPr>
      </w:pPr>
      <w:r>
        <w:rPr>
          <w:rFonts w:hint="eastAsia" w:ascii="宋体" w:hAnsi="宋体" w:cs="宋体" w:eastAsiaTheme="minorEastAsia"/>
          <w:b/>
          <w:kern w:val="44"/>
          <w:sz w:val="30"/>
          <w:szCs w:val="30"/>
          <w:lang w:val="en-US" w:eastAsia="zh-CN" w:bidi="ar-SA"/>
        </w:rPr>
        <w:t>供应商须知</w:t>
      </w:r>
    </w:p>
    <w:p>
      <w:pPr>
        <w:spacing w:line="360" w:lineRule="auto"/>
        <w:rPr>
          <w:rFonts w:hint="eastAsia"/>
          <w:b/>
          <w:bCs/>
          <w:sz w:val="24"/>
          <w:szCs w:val="24"/>
          <w:lang w:val="en-US" w:eastAsia="zh-CN"/>
        </w:rPr>
      </w:pPr>
      <w:r>
        <w:rPr>
          <w:rFonts w:hint="eastAsia"/>
          <w:b/>
          <w:bCs/>
          <w:sz w:val="24"/>
          <w:szCs w:val="24"/>
          <w:lang w:val="en-US" w:eastAsia="zh-CN"/>
        </w:rPr>
        <w:t>1. 总则</w:t>
      </w:r>
    </w:p>
    <w:p>
      <w:pPr>
        <w:spacing w:line="360" w:lineRule="auto"/>
        <w:rPr>
          <w:b/>
          <w:bCs/>
          <w:sz w:val="24"/>
          <w:szCs w:val="24"/>
        </w:rPr>
      </w:pPr>
      <w:bookmarkStart w:id="35" w:name="_Toc152042306"/>
      <w:bookmarkStart w:id="36" w:name="_Toc4872"/>
      <w:bookmarkStart w:id="37" w:name="_Toc152045530"/>
      <w:bookmarkStart w:id="38" w:name="_Toc179632547"/>
      <w:bookmarkStart w:id="39" w:name="_Toc144974498"/>
      <w:r>
        <w:rPr>
          <w:b/>
          <w:bCs/>
          <w:sz w:val="24"/>
          <w:szCs w:val="24"/>
        </w:rPr>
        <w:t xml:space="preserve">1.1 </w:t>
      </w:r>
      <w:r>
        <w:rPr>
          <w:rFonts w:hint="eastAsia"/>
          <w:b/>
          <w:bCs/>
          <w:sz w:val="24"/>
          <w:szCs w:val="24"/>
        </w:rPr>
        <w:t>项目概况</w:t>
      </w:r>
      <w:bookmarkEnd w:id="35"/>
      <w:bookmarkEnd w:id="36"/>
      <w:bookmarkEnd w:id="37"/>
      <w:bookmarkEnd w:id="38"/>
      <w:bookmarkEnd w:id="39"/>
    </w:p>
    <w:p>
      <w:pPr>
        <w:spacing w:line="360" w:lineRule="auto"/>
        <w:rPr>
          <w:sz w:val="24"/>
          <w:szCs w:val="24"/>
        </w:rPr>
      </w:pPr>
      <w:r>
        <w:rPr>
          <w:sz w:val="24"/>
          <w:szCs w:val="24"/>
        </w:rPr>
        <w:t>1.1.1</w:t>
      </w:r>
      <w:r>
        <w:rPr>
          <w:rFonts w:hint="eastAsia"/>
          <w:sz w:val="24"/>
          <w:szCs w:val="24"/>
        </w:rPr>
        <w:t>根据《中华人民共和国政府采购法》等有关法律、法规和规章的规定，本采购项目已具备采购条件，现对本标段施工进行采购。</w:t>
      </w:r>
    </w:p>
    <w:p>
      <w:pPr>
        <w:spacing w:line="360" w:lineRule="auto"/>
        <w:rPr>
          <w:sz w:val="24"/>
          <w:szCs w:val="24"/>
        </w:rPr>
      </w:pPr>
      <w:r>
        <w:rPr>
          <w:sz w:val="24"/>
          <w:szCs w:val="24"/>
        </w:rPr>
        <w:t xml:space="preserve">1.1.2 </w:t>
      </w:r>
      <w:r>
        <w:rPr>
          <w:rFonts w:hint="eastAsia"/>
          <w:sz w:val="24"/>
          <w:szCs w:val="24"/>
        </w:rPr>
        <w:t>本采购项目采购人：见供应商须知前附表。</w:t>
      </w:r>
    </w:p>
    <w:p>
      <w:pPr>
        <w:spacing w:line="360" w:lineRule="auto"/>
        <w:rPr>
          <w:sz w:val="24"/>
          <w:szCs w:val="24"/>
        </w:rPr>
      </w:pPr>
      <w:r>
        <w:rPr>
          <w:sz w:val="24"/>
          <w:szCs w:val="24"/>
        </w:rPr>
        <w:t xml:space="preserve">1.1.3 </w:t>
      </w:r>
      <w:r>
        <w:rPr>
          <w:rFonts w:hint="eastAsia"/>
          <w:sz w:val="24"/>
          <w:szCs w:val="24"/>
        </w:rPr>
        <w:t>本标段采购代理机构：见供应商须知前附表。</w:t>
      </w:r>
    </w:p>
    <w:p>
      <w:pPr>
        <w:spacing w:line="360" w:lineRule="auto"/>
        <w:rPr>
          <w:sz w:val="24"/>
          <w:szCs w:val="24"/>
        </w:rPr>
      </w:pPr>
      <w:r>
        <w:rPr>
          <w:sz w:val="24"/>
          <w:szCs w:val="24"/>
        </w:rPr>
        <w:t xml:space="preserve">1.1.4 </w:t>
      </w:r>
      <w:r>
        <w:rPr>
          <w:rFonts w:hint="eastAsia"/>
          <w:sz w:val="24"/>
          <w:szCs w:val="24"/>
        </w:rPr>
        <w:t>项目名称：见供应商须知前附表。</w:t>
      </w:r>
    </w:p>
    <w:p>
      <w:pPr>
        <w:spacing w:line="360" w:lineRule="auto"/>
        <w:rPr>
          <w:sz w:val="24"/>
          <w:szCs w:val="24"/>
        </w:rPr>
      </w:pPr>
      <w:r>
        <w:rPr>
          <w:sz w:val="24"/>
          <w:szCs w:val="24"/>
        </w:rPr>
        <w:t xml:space="preserve">1.1.5 </w:t>
      </w:r>
      <w:r>
        <w:rPr>
          <w:rFonts w:hint="eastAsia"/>
          <w:sz w:val="24"/>
          <w:szCs w:val="24"/>
        </w:rPr>
        <w:t>本标段建设地点：见供应商须知前附表。</w:t>
      </w:r>
    </w:p>
    <w:p>
      <w:pPr>
        <w:spacing w:line="360" w:lineRule="auto"/>
        <w:rPr>
          <w:b/>
          <w:bCs/>
          <w:sz w:val="24"/>
          <w:szCs w:val="24"/>
        </w:rPr>
      </w:pPr>
      <w:bookmarkStart w:id="40" w:name="_Toc24868"/>
      <w:bookmarkStart w:id="41" w:name="_Toc152042307"/>
      <w:bookmarkStart w:id="42" w:name="_Toc144974499"/>
      <w:bookmarkStart w:id="43" w:name="_Toc179632548"/>
      <w:bookmarkStart w:id="44" w:name="_Toc152045531"/>
      <w:r>
        <w:rPr>
          <w:b/>
          <w:bCs/>
          <w:sz w:val="24"/>
          <w:szCs w:val="24"/>
        </w:rPr>
        <w:t xml:space="preserve">1.2 </w:t>
      </w:r>
      <w:r>
        <w:rPr>
          <w:rFonts w:hint="eastAsia"/>
          <w:b/>
          <w:bCs/>
          <w:sz w:val="24"/>
          <w:szCs w:val="24"/>
        </w:rPr>
        <w:t>资金来源和落实情况</w:t>
      </w:r>
      <w:bookmarkEnd w:id="40"/>
      <w:bookmarkEnd w:id="41"/>
      <w:bookmarkEnd w:id="42"/>
      <w:bookmarkEnd w:id="43"/>
      <w:bookmarkEnd w:id="44"/>
    </w:p>
    <w:p>
      <w:pPr>
        <w:spacing w:line="360" w:lineRule="auto"/>
        <w:rPr>
          <w:sz w:val="24"/>
          <w:szCs w:val="24"/>
        </w:rPr>
      </w:pPr>
      <w:r>
        <w:rPr>
          <w:sz w:val="24"/>
          <w:szCs w:val="24"/>
        </w:rPr>
        <w:t xml:space="preserve">1.2.1 </w:t>
      </w:r>
      <w:r>
        <w:rPr>
          <w:rFonts w:hint="eastAsia"/>
          <w:sz w:val="24"/>
          <w:szCs w:val="24"/>
        </w:rPr>
        <w:t>本采购项目的资金来源：见供应商须知前附表。</w:t>
      </w:r>
    </w:p>
    <w:p>
      <w:pPr>
        <w:spacing w:line="360" w:lineRule="auto"/>
        <w:rPr>
          <w:sz w:val="24"/>
          <w:szCs w:val="24"/>
        </w:rPr>
      </w:pPr>
      <w:r>
        <w:rPr>
          <w:sz w:val="24"/>
          <w:szCs w:val="24"/>
        </w:rPr>
        <w:t xml:space="preserve">1.2.2 </w:t>
      </w:r>
      <w:r>
        <w:rPr>
          <w:rFonts w:hint="eastAsia"/>
          <w:sz w:val="24"/>
          <w:szCs w:val="24"/>
        </w:rPr>
        <w:t>本采购项目的出资比例：见供应商须知前附表。</w:t>
      </w:r>
    </w:p>
    <w:p>
      <w:pPr>
        <w:spacing w:line="360" w:lineRule="auto"/>
        <w:rPr>
          <w:sz w:val="24"/>
          <w:szCs w:val="24"/>
        </w:rPr>
      </w:pPr>
      <w:r>
        <w:rPr>
          <w:sz w:val="24"/>
          <w:szCs w:val="24"/>
        </w:rPr>
        <w:t xml:space="preserve">1.2.3 </w:t>
      </w:r>
      <w:r>
        <w:rPr>
          <w:rFonts w:hint="eastAsia"/>
          <w:sz w:val="24"/>
          <w:szCs w:val="24"/>
        </w:rPr>
        <w:t>本采购项目的资金落实情况：见供应商须知前附表。</w:t>
      </w:r>
    </w:p>
    <w:p>
      <w:pPr>
        <w:spacing w:line="360" w:lineRule="auto"/>
        <w:rPr>
          <w:b/>
          <w:bCs/>
          <w:sz w:val="24"/>
          <w:szCs w:val="24"/>
        </w:rPr>
      </w:pPr>
      <w:bookmarkStart w:id="45" w:name="_Toc1960"/>
      <w:bookmarkStart w:id="46" w:name="_Toc152045532"/>
      <w:bookmarkStart w:id="47" w:name="_Toc152042308"/>
      <w:bookmarkStart w:id="48" w:name="_Toc179632549"/>
      <w:bookmarkStart w:id="49" w:name="_Toc144974500"/>
      <w:r>
        <w:rPr>
          <w:b/>
          <w:bCs/>
          <w:sz w:val="24"/>
          <w:szCs w:val="24"/>
        </w:rPr>
        <w:t xml:space="preserve">1.3 </w:t>
      </w:r>
      <w:r>
        <w:rPr>
          <w:rFonts w:hint="eastAsia"/>
          <w:b/>
          <w:bCs/>
          <w:sz w:val="24"/>
          <w:szCs w:val="24"/>
        </w:rPr>
        <w:t>采购范围、计划工期和质量要求</w:t>
      </w:r>
      <w:bookmarkEnd w:id="45"/>
      <w:bookmarkEnd w:id="46"/>
      <w:bookmarkEnd w:id="47"/>
      <w:bookmarkEnd w:id="48"/>
      <w:bookmarkEnd w:id="49"/>
    </w:p>
    <w:p>
      <w:pPr>
        <w:spacing w:line="360" w:lineRule="auto"/>
        <w:rPr>
          <w:sz w:val="24"/>
          <w:szCs w:val="24"/>
        </w:rPr>
      </w:pPr>
      <w:r>
        <w:rPr>
          <w:sz w:val="24"/>
          <w:szCs w:val="24"/>
        </w:rPr>
        <w:t xml:space="preserve">1.3.1 </w:t>
      </w:r>
      <w:r>
        <w:rPr>
          <w:rFonts w:hint="eastAsia"/>
          <w:sz w:val="24"/>
          <w:szCs w:val="24"/>
        </w:rPr>
        <w:t>本次采购范围：见供应商须知前附表。</w:t>
      </w:r>
    </w:p>
    <w:p>
      <w:pPr>
        <w:spacing w:line="360" w:lineRule="auto"/>
        <w:rPr>
          <w:sz w:val="24"/>
          <w:szCs w:val="24"/>
        </w:rPr>
      </w:pPr>
      <w:r>
        <w:rPr>
          <w:sz w:val="24"/>
          <w:szCs w:val="24"/>
        </w:rPr>
        <w:t xml:space="preserve">1.3.2 </w:t>
      </w:r>
      <w:r>
        <w:rPr>
          <w:rFonts w:hint="eastAsia"/>
          <w:sz w:val="24"/>
          <w:szCs w:val="24"/>
        </w:rPr>
        <w:t>本标段的计划工期：见供应商须知前附表。</w:t>
      </w:r>
    </w:p>
    <w:p>
      <w:pPr>
        <w:spacing w:line="360" w:lineRule="auto"/>
        <w:rPr>
          <w:sz w:val="24"/>
          <w:szCs w:val="24"/>
        </w:rPr>
      </w:pPr>
      <w:r>
        <w:rPr>
          <w:sz w:val="24"/>
          <w:szCs w:val="24"/>
        </w:rPr>
        <w:t xml:space="preserve">1.3.3 </w:t>
      </w:r>
      <w:r>
        <w:rPr>
          <w:rFonts w:hint="eastAsia"/>
          <w:sz w:val="24"/>
          <w:szCs w:val="24"/>
        </w:rPr>
        <w:t>本项目的质量要求：见供应商须知前附表。</w:t>
      </w:r>
    </w:p>
    <w:p>
      <w:pPr>
        <w:spacing w:line="360" w:lineRule="auto"/>
        <w:rPr>
          <w:b/>
          <w:bCs/>
          <w:sz w:val="24"/>
          <w:szCs w:val="24"/>
        </w:rPr>
      </w:pPr>
      <w:bookmarkStart w:id="50" w:name="_Toc152045534"/>
      <w:bookmarkStart w:id="51" w:name="_Toc144974502"/>
      <w:bookmarkStart w:id="52" w:name="_Toc152042310"/>
      <w:bookmarkStart w:id="53" w:name="_Toc24777"/>
      <w:bookmarkStart w:id="54" w:name="_Toc179632551"/>
      <w:r>
        <w:rPr>
          <w:b/>
          <w:bCs/>
          <w:sz w:val="24"/>
          <w:szCs w:val="24"/>
        </w:rPr>
        <w:t xml:space="preserve">1.4 </w:t>
      </w:r>
      <w:r>
        <w:rPr>
          <w:rFonts w:hint="eastAsia"/>
          <w:b/>
          <w:bCs/>
          <w:sz w:val="24"/>
          <w:szCs w:val="24"/>
        </w:rPr>
        <w:t>供应商资格要求</w:t>
      </w:r>
      <w:bookmarkEnd w:id="50"/>
      <w:bookmarkEnd w:id="51"/>
      <w:bookmarkEnd w:id="52"/>
      <w:bookmarkEnd w:id="53"/>
      <w:bookmarkEnd w:id="54"/>
    </w:p>
    <w:p>
      <w:pPr>
        <w:spacing w:line="360" w:lineRule="auto"/>
        <w:rPr>
          <w:sz w:val="24"/>
          <w:szCs w:val="24"/>
        </w:rPr>
      </w:pPr>
      <w:r>
        <w:rPr>
          <w:sz w:val="24"/>
          <w:szCs w:val="24"/>
        </w:rPr>
        <w:t>1.4.1</w:t>
      </w:r>
      <w:r>
        <w:rPr>
          <w:rFonts w:hint="eastAsia"/>
          <w:sz w:val="24"/>
          <w:szCs w:val="24"/>
        </w:rPr>
        <w:t>供应商应具备承担本标段施工的资质条件、能力等。</w:t>
      </w:r>
    </w:p>
    <w:p>
      <w:pPr>
        <w:spacing w:line="360" w:lineRule="auto"/>
        <w:rPr>
          <w:sz w:val="24"/>
          <w:szCs w:val="24"/>
        </w:rPr>
      </w:pPr>
      <w:r>
        <w:rPr>
          <w:rFonts w:hint="eastAsia"/>
          <w:sz w:val="24"/>
          <w:szCs w:val="24"/>
        </w:rPr>
        <w:t>资质条件：见供应商须知前附表；</w:t>
      </w:r>
    </w:p>
    <w:p>
      <w:pPr>
        <w:spacing w:line="360" w:lineRule="auto"/>
        <w:rPr>
          <w:sz w:val="24"/>
          <w:szCs w:val="24"/>
        </w:rPr>
      </w:pPr>
      <w:r>
        <w:rPr>
          <w:rFonts w:hint="eastAsia"/>
          <w:sz w:val="24"/>
          <w:szCs w:val="24"/>
        </w:rPr>
        <w:t>项目经理资格：见供应商须知前附表；</w:t>
      </w:r>
    </w:p>
    <w:p>
      <w:pPr>
        <w:spacing w:line="360" w:lineRule="auto"/>
        <w:rPr>
          <w:sz w:val="24"/>
          <w:szCs w:val="24"/>
        </w:rPr>
      </w:pPr>
      <w:r>
        <w:rPr>
          <w:rFonts w:hint="eastAsia"/>
          <w:sz w:val="24"/>
          <w:szCs w:val="24"/>
        </w:rPr>
        <w:t>（</w:t>
      </w:r>
      <w:r>
        <w:rPr>
          <w:sz w:val="24"/>
          <w:szCs w:val="24"/>
        </w:rPr>
        <w:t>3</w:t>
      </w:r>
      <w:r>
        <w:rPr>
          <w:rFonts w:hint="eastAsia"/>
          <w:sz w:val="24"/>
          <w:szCs w:val="24"/>
        </w:rPr>
        <w:t>）其他要求：见供应商须知前附表。</w:t>
      </w:r>
    </w:p>
    <w:p>
      <w:pPr>
        <w:spacing w:line="360" w:lineRule="auto"/>
        <w:rPr>
          <w:sz w:val="24"/>
          <w:szCs w:val="24"/>
        </w:rPr>
      </w:pPr>
      <w:r>
        <w:rPr>
          <w:sz w:val="24"/>
          <w:szCs w:val="24"/>
        </w:rPr>
        <w:t xml:space="preserve">1.4.2 </w:t>
      </w:r>
      <w:r>
        <w:rPr>
          <w:rFonts w:hint="eastAsia"/>
          <w:sz w:val="24"/>
          <w:szCs w:val="24"/>
        </w:rPr>
        <w:t>不接受联合体响应。</w:t>
      </w:r>
    </w:p>
    <w:p>
      <w:pPr>
        <w:spacing w:line="360" w:lineRule="auto"/>
        <w:rPr>
          <w:sz w:val="24"/>
          <w:szCs w:val="24"/>
        </w:rPr>
      </w:pPr>
      <w:r>
        <w:rPr>
          <w:sz w:val="24"/>
          <w:szCs w:val="24"/>
        </w:rPr>
        <w:t>1.4.3</w:t>
      </w:r>
      <w:r>
        <w:rPr>
          <w:rFonts w:hint="eastAsia"/>
          <w:sz w:val="24"/>
          <w:szCs w:val="24"/>
        </w:rPr>
        <w:t>供应商不得存在下列情形之一</w:t>
      </w:r>
      <w:r>
        <w:rPr>
          <w:sz w:val="24"/>
          <w:szCs w:val="24"/>
        </w:rPr>
        <w:t>,</w:t>
      </w:r>
      <w:r>
        <w:rPr>
          <w:rFonts w:hint="eastAsia"/>
          <w:sz w:val="24"/>
          <w:szCs w:val="24"/>
        </w:rPr>
        <w:t>否则否决其响应：</w:t>
      </w:r>
    </w:p>
    <w:p>
      <w:pPr>
        <w:spacing w:line="360" w:lineRule="auto"/>
        <w:rPr>
          <w:sz w:val="24"/>
          <w:szCs w:val="24"/>
        </w:rPr>
      </w:pPr>
      <w:r>
        <w:rPr>
          <w:rFonts w:hint="eastAsia"/>
          <w:sz w:val="24"/>
          <w:szCs w:val="24"/>
        </w:rPr>
        <w:t>（</w:t>
      </w:r>
      <w:r>
        <w:rPr>
          <w:sz w:val="24"/>
          <w:szCs w:val="24"/>
        </w:rPr>
        <w:t>1</w:t>
      </w:r>
      <w:r>
        <w:rPr>
          <w:rFonts w:hint="eastAsia"/>
          <w:sz w:val="24"/>
          <w:szCs w:val="24"/>
        </w:rPr>
        <w:t>）为采购人不具有独立法人资格的附属机构（单位）；</w:t>
      </w:r>
    </w:p>
    <w:p>
      <w:pPr>
        <w:spacing w:line="360" w:lineRule="auto"/>
        <w:rPr>
          <w:sz w:val="24"/>
          <w:szCs w:val="24"/>
        </w:rPr>
      </w:pPr>
      <w:r>
        <w:rPr>
          <w:rFonts w:hint="eastAsia"/>
          <w:sz w:val="24"/>
          <w:szCs w:val="24"/>
        </w:rPr>
        <w:t>（</w:t>
      </w:r>
      <w:r>
        <w:rPr>
          <w:sz w:val="24"/>
          <w:szCs w:val="24"/>
        </w:rPr>
        <w:t>2</w:t>
      </w:r>
      <w:r>
        <w:rPr>
          <w:rFonts w:hint="eastAsia"/>
          <w:sz w:val="24"/>
          <w:szCs w:val="24"/>
        </w:rPr>
        <w:t>）为本标段前期准备提供设计或咨询服务的，但设计施工总承包的除外；</w:t>
      </w:r>
    </w:p>
    <w:p>
      <w:pPr>
        <w:spacing w:line="360" w:lineRule="auto"/>
        <w:rPr>
          <w:sz w:val="24"/>
          <w:szCs w:val="24"/>
        </w:rPr>
      </w:pPr>
      <w:r>
        <w:rPr>
          <w:rFonts w:hint="eastAsia"/>
          <w:sz w:val="24"/>
          <w:szCs w:val="24"/>
        </w:rPr>
        <w:t>（</w:t>
      </w:r>
      <w:r>
        <w:rPr>
          <w:sz w:val="24"/>
          <w:szCs w:val="24"/>
        </w:rPr>
        <w:t>3</w:t>
      </w:r>
      <w:r>
        <w:rPr>
          <w:rFonts w:hint="eastAsia"/>
          <w:sz w:val="24"/>
          <w:szCs w:val="24"/>
        </w:rPr>
        <w:t>）为本标段的监理人；</w:t>
      </w:r>
    </w:p>
    <w:p>
      <w:pPr>
        <w:spacing w:line="360" w:lineRule="auto"/>
        <w:rPr>
          <w:sz w:val="24"/>
          <w:szCs w:val="24"/>
        </w:rPr>
      </w:pPr>
      <w:r>
        <w:rPr>
          <w:rFonts w:hint="eastAsia"/>
          <w:sz w:val="24"/>
          <w:szCs w:val="24"/>
        </w:rPr>
        <w:t>（</w:t>
      </w:r>
      <w:r>
        <w:rPr>
          <w:sz w:val="24"/>
          <w:szCs w:val="24"/>
        </w:rPr>
        <w:t>4</w:t>
      </w:r>
      <w:r>
        <w:rPr>
          <w:rFonts w:hint="eastAsia"/>
          <w:sz w:val="24"/>
          <w:szCs w:val="24"/>
        </w:rPr>
        <w:t>）为本标段的代建人；</w:t>
      </w:r>
    </w:p>
    <w:p>
      <w:pPr>
        <w:spacing w:line="360" w:lineRule="auto"/>
        <w:rPr>
          <w:sz w:val="24"/>
          <w:szCs w:val="24"/>
        </w:rPr>
      </w:pPr>
      <w:r>
        <w:rPr>
          <w:rFonts w:hint="eastAsia"/>
          <w:sz w:val="24"/>
          <w:szCs w:val="24"/>
        </w:rPr>
        <w:t>（</w:t>
      </w:r>
      <w:r>
        <w:rPr>
          <w:sz w:val="24"/>
          <w:szCs w:val="24"/>
        </w:rPr>
        <w:t>5</w:t>
      </w:r>
      <w:r>
        <w:rPr>
          <w:rFonts w:hint="eastAsia"/>
          <w:sz w:val="24"/>
          <w:szCs w:val="24"/>
        </w:rPr>
        <w:t>）为本标段提供采购代理服务的；</w:t>
      </w:r>
    </w:p>
    <w:p>
      <w:pPr>
        <w:spacing w:line="360" w:lineRule="auto"/>
        <w:rPr>
          <w:sz w:val="24"/>
          <w:szCs w:val="24"/>
        </w:rPr>
      </w:pPr>
      <w:r>
        <w:rPr>
          <w:rFonts w:hint="eastAsia"/>
          <w:sz w:val="24"/>
          <w:szCs w:val="24"/>
        </w:rPr>
        <w:t>（</w:t>
      </w:r>
      <w:r>
        <w:rPr>
          <w:sz w:val="24"/>
          <w:szCs w:val="24"/>
        </w:rPr>
        <w:t>6</w:t>
      </w:r>
      <w:r>
        <w:rPr>
          <w:rFonts w:hint="eastAsia"/>
          <w:sz w:val="24"/>
          <w:szCs w:val="24"/>
        </w:rPr>
        <w:t>）与本标段的监理人或代建人或采购代理机构同为一个法定代表人的；</w:t>
      </w:r>
    </w:p>
    <w:p>
      <w:pPr>
        <w:spacing w:line="360" w:lineRule="auto"/>
        <w:rPr>
          <w:sz w:val="24"/>
          <w:szCs w:val="24"/>
        </w:rPr>
      </w:pPr>
      <w:r>
        <w:rPr>
          <w:rFonts w:hint="eastAsia"/>
          <w:sz w:val="24"/>
          <w:szCs w:val="24"/>
        </w:rPr>
        <w:t>（</w:t>
      </w:r>
      <w:r>
        <w:rPr>
          <w:sz w:val="24"/>
          <w:szCs w:val="24"/>
        </w:rPr>
        <w:t>7</w:t>
      </w:r>
      <w:r>
        <w:rPr>
          <w:rFonts w:hint="eastAsia"/>
          <w:sz w:val="24"/>
          <w:szCs w:val="24"/>
        </w:rPr>
        <w:t>）与本标段的监理人或代建人或采购代理机构相互控股或参股的；</w:t>
      </w:r>
    </w:p>
    <w:p>
      <w:pPr>
        <w:spacing w:line="360" w:lineRule="auto"/>
        <w:rPr>
          <w:sz w:val="24"/>
          <w:szCs w:val="24"/>
        </w:rPr>
      </w:pPr>
      <w:r>
        <w:rPr>
          <w:rFonts w:hint="eastAsia"/>
          <w:sz w:val="24"/>
          <w:szCs w:val="24"/>
        </w:rPr>
        <w:t>（</w:t>
      </w:r>
      <w:r>
        <w:rPr>
          <w:sz w:val="24"/>
          <w:szCs w:val="24"/>
        </w:rPr>
        <w:t>8</w:t>
      </w:r>
      <w:r>
        <w:rPr>
          <w:rFonts w:hint="eastAsia"/>
          <w:sz w:val="24"/>
          <w:szCs w:val="24"/>
        </w:rPr>
        <w:t>）与本标段的监理人或代建人或采购代理机构相互任职或工作的；</w:t>
      </w:r>
    </w:p>
    <w:p>
      <w:pPr>
        <w:spacing w:line="360" w:lineRule="auto"/>
        <w:rPr>
          <w:sz w:val="24"/>
          <w:szCs w:val="24"/>
        </w:rPr>
      </w:pPr>
      <w:r>
        <w:rPr>
          <w:rFonts w:hint="eastAsia"/>
          <w:sz w:val="24"/>
          <w:szCs w:val="24"/>
        </w:rPr>
        <w:t>（</w:t>
      </w:r>
      <w:r>
        <w:rPr>
          <w:sz w:val="24"/>
          <w:szCs w:val="24"/>
        </w:rPr>
        <w:t>9</w:t>
      </w:r>
      <w:r>
        <w:rPr>
          <w:rFonts w:hint="eastAsia"/>
          <w:sz w:val="24"/>
          <w:szCs w:val="24"/>
        </w:rPr>
        <w:t>）被责令停业的；</w:t>
      </w:r>
    </w:p>
    <w:p>
      <w:pPr>
        <w:spacing w:line="360" w:lineRule="auto"/>
        <w:rPr>
          <w:sz w:val="24"/>
          <w:szCs w:val="24"/>
        </w:rPr>
      </w:pPr>
      <w:r>
        <w:rPr>
          <w:rFonts w:hint="eastAsia"/>
          <w:sz w:val="24"/>
          <w:szCs w:val="24"/>
        </w:rPr>
        <w:t>（</w:t>
      </w:r>
      <w:r>
        <w:rPr>
          <w:sz w:val="24"/>
          <w:szCs w:val="24"/>
        </w:rPr>
        <w:t>10</w:t>
      </w:r>
      <w:r>
        <w:rPr>
          <w:rFonts w:hint="eastAsia"/>
          <w:sz w:val="24"/>
          <w:szCs w:val="24"/>
        </w:rPr>
        <w:t>）被行政主管部门或监督部门暂停或取消在阜阳市行政区域内投标资格的；</w:t>
      </w:r>
    </w:p>
    <w:p>
      <w:pPr>
        <w:spacing w:line="360" w:lineRule="auto"/>
        <w:rPr>
          <w:sz w:val="24"/>
          <w:szCs w:val="24"/>
        </w:rPr>
      </w:pPr>
      <w:r>
        <w:rPr>
          <w:rFonts w:hint="eastAsia"/>
          <w:sz w:val="24"/>
          <w:szCs w:val="24"/>
        </w:rPr>
        <w:t>（</w:t>
      </w:r>
      <w:r>
        <w:rPr>
          <w:sz w:val="24"/>
          <w:szCs w:val="24"/>
        </w:rPr>
        <w:t>11</w:t>
      </w:r>
      <w:r>
        <w:rPr>
          <w:rFonts w:hint="eastAsia"/>
          <w:sz w:val="24"/>
          <w:szCs w:val="24"/>
        </w:rPr>
        <w:t>）财产被接管或冻结的；</w:t>
      </w:r>
    </w:p>
    <w:p>
      <w:pPr>
        <w:spacing w:line="360" w:lineRule="auto"/>
        <w:rPr>
          <w:sz w:val="24"/>
          <w:szCs w:val="24"/>
        </w:rPr>
      </w:pPr>
      <w:r>
        <w:rPr>
          <w:rFonts w:hint="eastAsia"/>
          <w:sz w:val="24"/>
          <w:szCs w:val="24"/>
        </w:rPr>
        <w:t>（</w:t>
      </w:r>
      <w:r>
        <w:rPr>
          <w:sz w:val="24"/>
          <w:szCs w:val="24"/>
        </w:rPr>
        <w:t>12</w:t>
      </w:r>
      <w:r>
        <w:rPr>
          <w:rFonts w:hint="eastAsia"/>
          <w:sz w:val="24"/>
          <w:szCs w:val="24"/>
        </w:rPr>
        <w:t>）在最近三年内因骗取成交或严重违约或重大工程质量问题被限制投标资格的。</w:t>
      </w:r>
    </w:p>
    <w:p>
      <w:pPr>
        <w:spacing w:line="360" w:lineRule="auto"/>
        <w:rPr>
          <w:sz w:val="24"/>
          <w:szCs w:val="24"/>
        </w:rPr>
      </w:pPr>
      <w:r>
        <w:rPr>
          <w:rFonts w:hint="eastAsia"/>
          <w:sz w:val="24"/>
          <w:szCs w:val="24"/>
        </w:rPr>
        <w:t>（</w:t>
      </w:r>
      <w:r>
        <w:rPr>
          <w:sz w:val="24"/>
          <w:szCs w:val="24"/>
        </w:rPr>
        <w:t>13</w:t>
      </w:r>
      <w:r>
        <w:rPr>
          <w:rFonts w:hint="eastAsia"/>
          <w:sz w:val="24"/>
          <w:szCs w:val="24"/>
        </w:rPr>
        <w:t>）单位负责人为同一人或者存在控股，管理关系的不同单位同时参加本次采购项目响应的。</w:t>
      </w:r>
    </w:p>
    <w:p>
      <w:pPr>
        <w:spacing w:line="360" w:lineRule="auto"/>
        <w:rPr>
          <w:b/>
          <w:bCs/>
          <w:sz w:val="24"/>
          <w:szCs w:val="24"/>
        </w:rPr>
      </w:pPr>
      <w:bookmarkStart w:id="55" w:name="_Toc179632552"/>
      <w:bookmarkStart w:id="56" w:name="_Toc144974503"/>
      <w:bookmarkStart w:id="57" w:name="_Toc12748"/>
      <w:bookmarkStart w:id="58" w:name="_Toc152042311"/>
      <w:bookmarkStart w:id="59" w:name="_Toc152045535"/>
      <w:r>
        <w:rPr>
          <w:b/>
          <w:bCs/>
          <w:sz w:val="24"/>
          <w:szCs w:val="24"/>
        </w:rPr>
        <w:t xml:space="preserve">1.5 </w:t>
      </w:r>
      <w:r>
        <w:rPr>
          <w:rFonts w:hint="eastAsia"/>
          <w:b/>
          <w:bCs/>
          <w:sz w:val="24"/>
          <w:szCs w:val="24"/>
        </w:rPr>
        <w:t>费用承担</w:t>
      </w:r>
      <w:bookmarkEnd w:id="55"/>
      <w:bookmarkEnd w:id="56"/>
      <w:bookmarkEnd w:id="57"/>
      <w:bookmarkEnd w:id="58"/>
      <w:bookmarkEnd w:id="59"/>
    </w:p>
    <w:p>
      <w:pPr>
        <w:spacing w:line="360" w:lineRule="auto"/>
        <w:rPr>
          <w:sz w:val="24"/>
          <w:szCs w:val="24"/>
        </w:rPr>
      </w:pPr>
      <w:bookmarkStart w:id="60" w:name="_Toc179632553"/>
      <w:bookmarkStart w:id="61" w:name="_Toc152042312"/>
      <w:bookmarkStart w:id="62" w:name="_Toc144974504"/>
      <w:bookmarkStart w:id="63" w:name="_Toc152045536"/>
      <w:r>
        <w:rPr>
          <w:sz w:val="24"/>
          <w:szCs w:val="24"/>
        </w:rPr>
        <w:t>1.5.1</w:t>
      </w:r>
      <w:r>
        <w:rPr>
          <w:rFonts w:hint="eastAsia"/>
          <w:sz w:val="24"/>
          <w:szCs w:val="24"/>
        </w:rPr>
        <w:t>供应商准备和参加响应活动发生的费用自理。</w:t>
      </w:r>
    </w:p>
    <w:p>
      <w:pPr>
        <w:spacing w:line="360" w:lineRule="auto"/>
        <w:rPr>
          <w:sz w:val="24"/>
          <w:szCs w:val="24"/>
        </w:rPr>
      </w:pPr>
      <w:r>
        <w:rPr>
          <w:sz w:val="24"/>
          <w:szCs w:val="24"/>
        </w:rPr>
        <w:t>1.5.2</w:t>
      </w:r>
      <w:r>
        <w:rPr>
          <w:rFonts w:hint="eastAsia"/>
          <w:sz w:val="24"/>
          <w:szCs w:val="24"/>
        </w:rPr>
        <w:t>代理服务费：见供应商须知前附表。</w:t>
      </w:r>
    </w:p>
    <w:p>
      <w:pPr>
        <w:spacing w:line="360" w:lineRule="auto"/>
        <w:rPr>
          <w:rFonts w:hint="eastAsia"/>
          <w:sz w:val="24"/>
          <w:szCs w:val="24"/>
        </w:rPr>
      </w:pPr>
      <w:r>
        <w:rPr>
          <w:sz w:val="24"/>
          <w:szCs w:val="24"/>
        </w:rPr>
        <w:t>1.5.3</w:t>
      </w:r>
      <w:r>
        <w:rPr>
          <w:rFonts w:hint="eastAsia"/>
          <w:sz w:val="24"/>
          <w:szCs w:val="24"/>
        </w:rPr>
        <w:t>工程量清单、控制价编制费：见供应商须知前附表。</w:t>
      </w:r>
    </w:p>
    <w:p>
      <w:pPr>
        <w:spacing w:line="360" w:lineRule="auto"/>
        <w:rPr>
          <w:b/>
          <w:bCs/>
          <w:sz w:val="24"/>
          <w:szCs w:val="24"/>
        </w:rPr>
      </w:pPr>
      <w:bookmarkStart w:id="64" w:name="_Toc8768"/>
      <w:r>
        <w:rPr>
          <w:b/>
          <w:bCs/>
          <w:sz w:val="24"/>
          <w:szCs w:val="24"/>
        </w:rPr>
        <w:t xml:space="preserve">1.6 </w:t>
      </w:r>
      <w:r>
        <w:rPr>
          <w:rFonts w:hint="eastAsia"/>
          <w:b/>
          <w:bCs/>
          <w:sz w:val="24"/>
          <w:szCs w:val="24"/>
        </w:rPr>
        <w:t>保密</w:t>
      </w:r>
      <w:bookmarkEnd w:id="60"/>
      <w:bookmarkEnd w:id="61"/>
      <w:bookmarkEnd w:id="62"/>
      <w:bookmarkEnd w:id="63"/>
      <w:bookmarkEnd w:id="64"/>
    </w:p>
    <w:p>
      <w:pPr>
        <w:spacing w:line="360" w:lineRule="auto"/>
        <w:ind w:firstLine="480" w:firstLineChars="200"/>
        <w:rPr>
          <w:sz w:val="24"/>
          <w:szCs w:val="24"/>
        </w:rPr>
      </w:pPr>
      <w:r>
        <w:rPr>
          <w:rFonts w:hint="eastAsia"/>
          <w:sz w:val="24"/>
          <w:szCs w:val="24"/>
        </w:rPr>
        <w:t>参与采购响应活动的各方应对竞争性谈判文件和响应文件中的商业和技术等秘密保密，违者应对由此造成的后果承担法律责任。</w:t>
      </w:r>
    </w:p>
    <w:p>
      <w:pPr>
        <w:spacing w:line="360" w:lineRule="auto"/>
        <w:rPr>
          <w:b/>
          <w:bCs/>
          <w:sz w:val="24"/>
          <w:szCs w:val="24"/>
        </w:rPr>
      </w:pPr>
      <w:bookmarkStart w:id="65" w:name="_Toc144974505"/>
      <w:bookmarkStart w:id="66" w:name="_Toc152045537"/>
      <w:bookmarkStart w:id="67" w:name="_Toc179632554"/>
      <w:bookmarkStart w:id="68" w:name="_Toc31837"/>
      <w:bookmarkStart w:id="69" w:name="_Toc152042313"/>
      <w:r>
        <w:rPr>
          <w:b/>
          <w:bCs/>
          <w:sz w:val="24"/>
          <w:szCs w:val="24"/>
        </w:rPr>
        <w:t xml:space="preserve">1.7 </w:t>
      </w:r>
      <w:r>
        <w:rPr>
          <w:rFonts w:hint="eastAsia"/>
          <w:b/>
          <w:bCs/>
          <w:sz w:val="24"/>
          <w:szCs w:val="24"/>
        </w:rPr>
        <w:t>语言</w:t>
      </w:r>
      <w:bookmarkEnd w:id="65"/>
      <w:r>
        <w:rPr>
          <w:rFonts w:hint="eastAsia"/>
          <w:b/>
          <w:bCs/>
          <w:sz w:val="24"/>
          <w:szCs w:val="24"/>
        </w:rPr>
        <w:t>文字</w:t>
      </w:r>
      <w:bookmarkEnd w:id="66"/>
      <w:bookmarkEnd w:id="67"/>
      <w:bookmarkEnd w:id="68"/>
      <w:bookmarkEnd w:id="69"/>
    </w:p>
    <w:p>
      <w:pPr>
        <w:spacing w:line="360" w:lineRule="auto"/>
        <w:ind w:firstLine="480" w:firstLineChars="200"/>
        <w:rPr>
          <w:sz w:val="24"/>
          <w:szCs w:val="24"/>
        </w:rPr>
      </w:pPr>
      <w:r>
        <w:rPr>
          <w:rFonts w:hint="eastAsia"/>
          <w:sz w:val="24"/>
          <w:szCs w:val="24"/>
        </w:rPr>
        <w:t>除专用术语外，与采购响应有关的语言均使用中文。必要时专用术语应附有中文注释。</w:t>
      </w:r>
    </w:p>
    <w:p>
      <w:pPr>
        <w:spacing w:line="360" w:lineRule="auto"/>
        <w:rPr>
          <w:b/>
          <w:bCs/>
          <w:sz w:val="24"/>
          <w:szCs w:val="24"/>
        </w:rPr>
      </w:pPr>
      <w:bookmarkStart w:id="70" w:name="_Toc10696"/>
      <w:bookmarkStart w:id="71" w:name="_Toc179632555"/>
      <w:bookmarkStart w:id="72" w:name="_Toc152045538"/>
      <w:bookmarkStart w:id="73" w:name="_Toc152042314"/>
      <w:bookmarkStart w:id="74" w:name="_Toc144974506"/>
      <w:r>
        <w:rPr>
          <w:b/>
          <w:bCs/>
          <w:sz w:val="24"/>
          <w:szCs w:val="24"/>
        </w:rPr>
        <w:t xml:space="preserve">1.8 </w:t>
      </w:r>
      <w:r>
        <w:rPr>
          <w:rFonts w:hint="eastAsia"/>
          <w:b/>
          <w:bCs/>
          <w:sz w:val="24"/>
          <w:szCs w:val="24"/>
        </w:rPr>
        <w:t>计量单位</w:t>
      </w:r>
      <w:bookmarkEnd w:id="70"/>
      <w:bookmarkEnd w:id="71"/>
      <w:bookmarkEnd w:id="72"/>
      <w:bookmarkEnd w:id="73"/>
      <w:bookmarkEnd w:id="74"/>
    </w:p>
    <w:p>
      <w:pPr>
        <w:spacing w:line="360" w:lineRule="auto"/>
        <w:ind w:firstLine="480" w:firstLineChars="200"/>
        <w:rPr>
          <w:sz w:val="24"/>
          <w:szCs w:val="24"/>
        </w:rPr>
      </w:pPr>
      <w:r>
        <w:rPr>
          <w:rFonts w:hint="eastAsia"/>
          <w:sz w:val="24"/>
          <w:szCs w:val="24"/>
        </w:rPr>
        <w:t>所有计量均采用中华人民共和国法定计量单位。</w:t>
      </w:r>
    </w:p>
    <w:p>
      <w:pPr>
        <w:spacing w:line="360" w:lineRule="auto"/>
        <w:rPr>
          <w:b/>
          <w:bCs/>
          <w:sz w:val="24"/>
          <w:szCs w:val="24"/>
        </w:rPr>
      </w:pPr>
      <w:bookmarkStart w:id="75" w:name="_Toc144974507"/>
      <w:bookmarkStart w:id="76" w:name="_Toc29617"/>
      <w:bookmarkStart w:id="77" w:name="_Toc179632556"/>
      <w:bookmarkStart w:id="78" w:name="_Toc152045539"/>
      <w:bookmarkStart w:id="79" w:name="_Toc152042315"/>
      <w:r>
        <w:rPr>
          <w:b/>
          <w:bCs/>
          <w:sz w:val="24"/>
          <w:szCs w:val="24"/>
        </w:rPr>
        <w:t xml:space="preserve">1.9 </w:t>
      </w:r>
      <w:r>
        <w:rPr>
          <w:rFonts w:hint="eastAsia"/>
          <w:b/>
          <w:bCs/>
          <w:sz w:val="24"/>
          <w:szCs w:val="24"/>
        </w:rPr>
        <w:t>踏勘现场</w:t>
      </w:r>
      <w:bookmarkEnd w:id="75"/>
      <w:bookmarkEnd w:id="76"/>
      <w:bookmarkEnd w:id="77"/>
      <w:bookmarkEnd w:id="78"/>
      <w:bookmarkEnd w:id="79"/>
    </w:p>
    <w:p>
      <w:pPr>
        <w:spacing w:line="360" w:lineRule="auto"/>
        <w:rPr>
          <w:sz w:val="24"/>
          <w:szCs w:val="24"/>
        </w:rPr>
      </w:pPr>
      <w:r>
        <w:rPr>
          <w:sz w:val="24"/>
          <w:szCs w:val="24"/>
        </w:rPr>
        <w:t xml:space="preserve">1.9.1 </w:t>
      </w:r>
      <w:r>
        <w:rPr>
          <w:rFonts w:hint="eastAsia"/>
          <w:sz w:val="24"/>
          <w:szCs w:val="24"/>
        </w:rPr>
        <w:t>供应商须知前附表规定组织踏勘现场的，采购人按供应商须知前附表规定的时间、地点组织供应商踏勘项目现场。</w:t>
      </w:r>
    </w:p>
    <w:p>
      <w:pPr>
        <w:spacing w:line="360" w:lineRule="auto"/>
        <w:rPr>
          <w:sz w:val="24"/>
          <w:szCs w:val="24"/>
        </w:rPr>
      </w:pPr>
      <w:r>
        <w:rPr>
          <w:sz w:val="24"/>
          <w:szCs w:val="24"/>
        </w:rPr>
        <w:t xml:space="preserve">1.9.2 </w:t>
      </w:r>
      <w:r>
        <w:rPr>
          <w:rFonts w:hint="eastAsia"/>
          <w:sz w:val="24"/>
          <w:szCs w:val="24"/>
        </w:rPr>
        <w:t>供应商踏勘现场发生的费用自理。</w:t>
      </w:r>
    </w:p>
    <w:p>
      <w:pPr>
        <w:spacing w:line="360" w:lineRule="auto"/>
        <w:rPr>
          <w:sz w:val="24"/>
          <w:szCs w:val="24"/>
        </w:rPr>
      </w:pPr>
      <w:r>
        <w:rPr>
          <w:sz w:val="24"/>
          <w:szCs w:val="24"/>
        </w:rPr>
        <w:t xml:space="preserve">1.9.3 </w:t>
      </w:r>
      <w:r>
        <w:rPr>
          <w:rFonts w:hint="eastAsia"/>
          <w:sz w:val="24"/>
          <w:szCs w:val="24"/>
        </w:rPr>
        <w:t>除采购人的原因外，供应商自行负责在踏勘现场中所发生的人员伤亡和财产损失等。</w:t>
      </w:r>
    </w:p>
    <w:p>
      <w:pPr>
        <w:spacing w:line="360" w:lineRule="auto"/>
        <w:rPr>
          <w:sz w:val="24"/>
          <w:szCs w:val="24"/>
        </w:rPr>
      </w:pPr>
      <w:r>
        <w:rPr>
          <w:sz w:val="24"/>
          <w:szCs w:val="24"/>
        </w:rPr>
        <w:t xml:space="preserve">1.9.4 </w:t>
      </w:r>
      <w:r>
        <w:rPr>
          <w:rFonts w:hint="eastAsia"/>
          <w:sz w:val="24"/>
          <w:szCs w:val="24"/>
        </w:rPr>
        <w:t>采购人在踏勘现场中介绍的工程场地和相关的周边环境情况，供供应商在编制响应文件时参考，采购人不对供应商据此作出的判断和决策负责。</w:t>
      </w:r>
    </w:p>
    <w:p>
      <w:pPr>
        <w:spacing w:line="360" w:lineRule="auto"/>
        <w:rPr>
          <w:b/>
          <w:bCs/>
          <w:sz w:val="24"/>
          <w:szCs w:val="24"/>
        </w:rPr>
      </w:pPr>
      <w:bookmarkStart w:id="80" w:name="_Toc152045541"/>
      <w:bookmarkStart w:id="81" w:name="_Toc144974509"/>
      <w:bookmarkStart w:id="82" w:name="_Toc179632558"/>
      <w:bookmarkStart w:id="83" w:name="_Toc152042317"/>
      <w:bookmarkStart w:id="84" w:name="_Toc16901"/>
      <w:r>
        <w:rPr>
          <w:b/>
          <w:bCs/>
          <w:sz w:val="24"/>
          <w:szCs w:val="24"/>
        </w:rPr>
        <w:t>1.1</w:t>
      </w:r>
      <w:r>
        <w:rPr>
          <w:rFonts w:hint="eastAsia"/>
          <w:b/>
          <w:bCs/>
          <w:sz w:val="24"/>
          <w:szCs w:val="24"/>
        </w:rPr>
        <w:t>0</w:t>
      </w:r>
      <w:r>
        <w:rPr>
          <w:b/>
          <w:bCs/>
          <w:sz w:val="24"/>
          <w:szCs w:val="24"/>
        </w:rPr>
        <w:t xml:space="preserve"> </w:t>
      </w:r>
      <w:r>
        <w:rPr>
          <w:rFonts w:hint="eastAsia"/>
          <w:b/>
          <w:bCs/>
          <w:sz w:val="24"/>
          <w:szCs w:val="24"/>
        </w:rPr>
        <w:t>分包</w:t>
      </w:r>
      <w:bookmarkEnd w:id="80"/>
      <w:bookmarkEnd w:id="81"/>
      <w:bookmarkEnd w:id="82"/>
      <w:bookmarkEnd w:id="83"/>
      <w:bookmarkEnd w:id="84"/>
    </w:p>
    <w:p>
      <w:pPr>
        <w:spacing w:line="360" w:lineRule="auto"/>
        <w:ind w:firstLine="480" w:firstLineChars="200"/>
        <w:rPr>
          <w:sz w:val="24"/>
          <w:szCs w:val="24"/>
        </w:rPr>
      </w:pPr>
      <w:r>
        <w:rPr>
          <w:rFonts w:hint="eastAsia"/>
          <w:sz w:val="24"/>
          <w:szCs w:val="24"/>
        </w:rPr>
        <w:t>供应商拟在成交后将成交项目的部分非主体、非关键性工作进行分包的，应符合供应商须知前附表规定的分包内容、分包金额和接受分包的第三人资质要求等限制性条件。</w:t>
      </w:r>
    </w:p>
    <w:p>
      <w:pPr>
        <w:spacing w:line="360" w:lineRule="auto"/>
        <w:rPr>
          <w:b/>
          <w:bCs/>
          <w:sz w:val="24"/>
          <w:szCs w:val="24"/>
        </w:rPr>
      </w:pPr>
      <w:bookmarkStart w:id="85" w:name="_Toc1741"/>
      <w:bookmarkStart w:id="86" w:name="_Toc179632559"/>
      <w:r>
        <w:rPr>
          <w:b/>
          <w:bCs/>
          <w:sz w:val="24"/>
          <w:szCs w:val="24"/>
        </w:rPr>
        <w:t>1.1</w:t>
      </w:r>
      <w:r>
        <w:rPr>
          <w:rFonts w:hint="eastAsia"/>
          <w:b/>
          <w:bCs/>
          <w:sz w:val="24"/>
          <w:szCs w:val="24"/>
        </w:rPr>
        <w:t>1</w:t>
      </w:r>
      <w:r>
        <w:rPr>
          <w:b/>
          <w:bCs/>
          <w:sz w:val="24"/>
          <w:szCs w:val="24"/>
        </w:rPr>
        <w:t xml:space="preserve"> </w:t>
      </w:r>
      <w:r>
        <w:rPr>
          <w:rFonts w:hint="eastAsia"/>
          <w:b/>
          <w:bCs/>
          <w:sz w:val="24"/>
          <w:szCs w:val="24"/>
        </w:rPr>
        <w:t>偏离</w:t>
      </w:r>
      <w:bookmarkEnd w:id="85"/>
      <w:bookmarkEnd w:id="86"/>
    </w:p>
    <w:p>
      <w:pPr>
        <w:spacing w:line="360" w:lineRule="auto"/>
        <w:ind w:firstLine="480" w:firstLineChars="200"/>
        <w:rPr>
          <w:sz w:val="24"/>
          <w:szCs w:val="24"/>
        </w:rPr>
      </w:pPr>
      <w:r>
        <w:rPr>
          <w:rFonts w:hint="eastAsia"/>
          <w:sz w:val="24"/>
          <w:szCs w:val="24"/>
        </w:rPr>
        <w:t>供应商须知前附表允许响应文件偏离竞争性谈判文件某些要求的，偏离应当符合竞争性谈判文件规定的偏离范围和幅度。</w:t>
      </w:r>
    </w:p>
    <w:p>
      <w:pPr>
        <w:spacing w:line="360" w:lineRule="auto"/>
        <w:rPr>
          <w:b/>
          <w:bCs/>
          <w:sz w:val="24"/>
          <w:szCs w:val="24"/>
        </w:rPr>
      </w:pPr>
      <w:bookmarkStart w:id="87" w:name="_Toc152042318"/>
      <w:bookmarkStart w:id="88" w:name="_Toc6379"/>
      <w:bookmarkStart w:id="89" w:name="_Toc3468"/>
      <w:bookmarkStart w:id="90" w:name="_Toc144974510"/>
      <w:bookmarkStart w:id="91" w:name="_Toc179632560"/>
      <w:bookmarkStart w:id="92" w:name="_Toc15381"/>
      <w:bookmarkStart w:id="93" w:name="_Toc152045542"/>
      <w:r>
        <w:rPr>
          <w:b/>
          <w:bCs/>
          <w:sz w:val="24"/>
          <w:szCs w:val="24"/>
        </w:rPr>
        <w:t xml:space="preserve">2. </w:t>
      </w:r>
      <w:r>
        <w:rPr>
          <w:rFonts w:hint="eastAsia"/>
          <w:b/>
          <w:bCs/>
          <w:sz w:val="24"/>
          <w:szCs w:val="24"/>
        </w:rPr>
        <w:t>竞争性谈判文件</w:t>
      </w:r>
      <w:bookmarkEnd w:id="87"/>
      <w:bookmarkEnd w:id="88"/>
      <w:bookmarkEnd w:id="89"/>
      <w:bookmarkEnd w:id="90"/>
      <w:bookmarkEnd w:id="91"/>
      <w:bookmarkEnd w:id="92"/>
      <w:bookmarkEnd w:id="93"/>
    </w:p>
    <w:p>
      <w:pPr>
        <w:spacing w:line="360" w:lineRule="auto"/>
        <w:rPr>
          <w:b/>
          <w:bCs/>
          <w:sz w:val="24"/>
          <w:szCs w:val="24"/>
        </w:rPr>
      </w:pPr>
      <w:bookmarkStart w:id="94" w:name="_Toc152042319"/>
      <w:bookmarkStart w:id="95" w:name="_Toc144974511"/>
      <w:bookmarkStart w:id="96" w:name="_Toc179632561"/>
      <w:bookmarkStart w:id="97" w:name="_Toc22495"/>
      <w:bookmarkStart w:id="98" w:name="_Toc152045543"/>
      <w:r>
        <w:rPr>
          <w:b/>
          <w:bCs/>
          <w:sz w:val="24"/>
          <w:szCs w:val="24"/>
        </w:rPr>
        <w:t xml:space="preserve">2.1 </w:t>
      </w:r>
      <w:r>
        <w:rPr>
          <w:rFonts w:hint="eastAsia"/>
          <w:b/>
          <w:bCs/>
          <w:sz w:val="24"/>
          <w:szCs w:val="24"/>
        </w:rPr>
        <w:t>竞争性谈判文件的组成</w:t>
      </w:r>
      <w:bookmarkEnd w:id="94"/>
      <w:bookmarkEnd w:id="95"/>
      <w:bookmarkEnd w:id="96"/>
      <w:bookmarkEnd w:id="97"/>
      <w:bookmarkEnd w:id="98"/>
    </w:p>
    <w:p>
      <w:pPr>
        <w:spacing w:line="360" w:lineRule="auto"/>
        <w:rPr>
          <w:sz w:val="24"/>
          <w:szCs w:val="24"/>
        </w:rPr>
      </w:pPr>
      <w:r>
        <w:rPr>
          <w:rFonts w:hint="eastAsia"/>
          <w:sz w:val="24"/>
          <w:szCs w:val="24"/>
        </w:rPr>
        <w:t>本竞争性谈判文件包括：</w:t>
      </w:r>
    </w:p>
    <w:p>
      <w:pPr>
        <w:spacing w:line="360" w:lineRule="auto"/>
        <w:rPr>
          <w:sz w:val="24"/>
          <w:szCs w:val="24"/>
        </w:rPr>
      </w:pPr>
      <w:r>
        <w:rPr>
          <w:rFonts w:hint="eastAsia"/>
          <w:sz w:val="24"/>
          <w:szCs w:val="24"/>
        </w:rPr>
        <w:t>（</w:t>
      </w:r>
      <w:r>
        <w:rPr>
          <w:sz w:val="24"/>
          <w:szCs w:val="24"/>
        </w:rPr>
        <w:t>1</w:t>
      </w:r>
      <w:r>
        <w:rPr>
          <w:rFonts w:hint="eastAsia"/>
          <w:sz w:val="24"/>
          <w:szCs w:val="24"/>
        </w:rPr>
        <w:t>）竞争性谈判公告；</w:t>
      </w:r>
    </w:p>
    <w:p>
      <w:pPr>
        <w:spacing w:line="360" w:lineRule="auto"/>
        <w:rPr>
          <w:sz w:val="24"/>
          <w:szCs w:val="24"/>
        </w:rPr>
      </w:pPr>
      <w:r>
        <w:rPr>
          <w:rFonts w:hint="eastAsia"/>
          <w:sz w:val="24"/>
          <w:szCs w:val="24"/>
        </w:rPr>
        <w:t>（</w:t>
      </w:r>
      <w:r>
        <w:rPr>
          <w:sz w:val="24"/>
          <w:szCs w:val="24"/>
        </w:rPr>
        <w:t>2</w:t>
      </w:r>
      <w:r>
        <w:rPr>
          <w:rFonts w:hint="eastAsia"/>
          <w:sz w:val="24"/>
          <w:szCs w:val="24"/>
        </w:rPr>
        <w:t>）供应商须知；</w:t>
      </w:r>
    </w:p>
    <w:p>
      <w:pPr>
        <w:spacing w:line="360" w:lineRule="auto"/>
        <w:rPr>
          <w:sz w:val="24"/>
          <w:szCs w:val="24"/>
        </w:rPr>
      </w:pPr>
      <w:r>
        <w:rPr>
          <w:rFonts w:hint="eastAsia"/>
          <w:sz w:val="24"/>
          <w:szCs w:val="24"/>
        </w:rPr>
        <w:t>（</w:t>
      </w:r>
      <w:r>
        <w:rPr>
          <w:sz w:val="24"/>
          <w:szCs w:val="24"/>
        </w:rPr>
        <w:t>3</w:t>
      </w:r>
      <w:r>
        <w:rPr>
          <w:rFonts w:hint="eastAsia"/>
          <w:sz w:val="24"/>
          <w:szCs w:val="24"/>
        </w:rPr>
        <w:t>）评审办法；</w:t>
      </w:r>
    </w:p>
    <w:p>
      <w:pPr>
        <w:spacing w:line="360" w:lineRule="auto"/>
        <w:rPr>
          <w:sz w:val="24"/>
          <w:szCs w:val="24"/>
        </w:rPr>
      </w:pPr>
      <w:r>
        <w:rPr>
          <w:rFonts w:hint="eastAsia"/>
          <w:sz w:val="24"/>
          <w:szCs w:val="24"/>
        </w:rPr>
        <w:t>（</w:t>
      </w:r>
      <w:r>
        <w:rPr>
          <w:sz w:val="24"/>
          <w:szCs w:val="24"/>
        </w:rPr>
        <w:t>4</w:t>
      </w:r>
      <w:r>
        <w:rPr>
          <w:rFonts w:hint="eastAsia"/>
          <w:sz w:val="24"/>
          <w:szCs w:val="24"/>
        </w:rPr>
        <w:t>）合同条款及格式；</w:t>
      </w:r>
    </w:p>
    <w:p>
      <w:pPr>
        <w:spacing w:line="360" w:lineRule="auto"/>
        <w:rPr>
          <w:sz w:val="24"/>
          <w:szCs w:val="24"/>
        </w:rPr>
      </w:pPr>
      <w:r>
        <w:rPr>
          <w:rFonts w:hint="eastAsia"/>
          <w:sz w:val="24"/>
          <w:szCs w:val="24"/>
        </w:rPr>
        <w:t>（</w:t>
      </w:r>
      <w:r>
        <w:rPr>
          <w:sz w:val="24"/>
          <w:szCs w:val="24"/>
        </w:rPr>
        <w:t>5</w:t>
      </w:r>
      <w:r>
        <w:rPr>
          <w:rFonts w:hint="eastAsia"/>
          <w:sz w:val="24"/>
          <w:szCs w:val="24"/>
        </w:rPr>
        <w:t>）工程量清单；</w:t>
      </w:r>
    </w:p>
    <w:p>
      <w:pPr>
        <w:spacing w:line="360" w:lineRule="auto"/>
        <w:rPr>
          <w:sz w:val="24"/>
          <w:szCs w:val="24"/>
        </w:rPr>
      </w:pPr>
      <w:r>
        <w:rPr>
          <w:rFonts w:hint="eastAsia"/>
          <w:sz w:val="24"/>
          <w:szCs w:val="24"/>
        </w:rPr>
        <w:t>（6）技术标准和要求；</w:t>
      </w:r>
    </w:p>
    <w:p>
      <w:pPr>
        <w:spacing w:line="360" w:lineRule="auto"/>
        <w:rPr>
          <w:sz w:val="24"/>
          <w:szCs w:val="24"/>
        </w:rPr>
      </w:pPr>
      <w:r>
        <w:rPr>
          <w:rFonts w:hint="eastAsia"/>
          <w:sz w:val="24"/>
          <w:szCs w:val="24"/>
        </w:rPr>
        <w:t>（7）响应文件格式；</w:t>
      </w:r>
    </w:p>
    <w:p>
      <w:pPr>
        <w:spacing w:line="360" w:lineRule="auto"/>
        <w:rPr>
          <w:sz w:val="24"/>
          <w:szCs w:val="24"/>
        </w:rPr>
      </w:pPr>
      <w:r>
        <w:rPr>
          <w:rFonts w:hint="eastAsia"/>
          <w:sz w:val="24"/>
          <w:szCs w:val="24"/>
        </w:rPr>
        <w:t>（8）供应商须知前附表规定的其它材料。</w:t>
      </w:r>
    </w:p>
    <w:p>
      <w:pPr>
        <w:spacing w:line="360" w:lineRule="auto"/>
        <w:ind w:firstLine="480" w:firstLineChars="200"/>
        <w:rPr>
          <w:sz w:val="24"/>
          <w:szCs w:val="24"/>
        </w:rPr>
      </w:pPr>
      <w:bookmarkStart w:id="99" w:name="_Toc152042322"/>
      <w:bookmarkStart w:id="100" w:name="_Toc144974514"/>
      <w:bookmarkStart w:id="101" w:name="_Toc152045546"/>
      <w:bookmarkStart w:id="102" w:name="_Toc179632564"/>
      <w:r>
        <w:rPr>
          <w:rFonts w:hint="eastAsia"/>
          <w:sz w:val="24"/>
          <w:szCs w:val="24"/>
        </w:rPr>
        <w:t>根据本章第</w:t>
      </w:r>
      <w:r>
        <w:rPr>
          <w:sz w:val="24"/>
          <w:szCs w:val="24"/>
        </w:rPr>
        <w:t>1.10</w:t>
      </w:r>
      <w:r>
        <w:rPr>
          <w:rFonts w:hint="eastAsia"/>
          <w:sz w:val="24"/>
          <w:szCs w:val="24"/>
        </w:rPr>
        <w:t>款、第</w:t>
      </w:r>
      <w:r>
        <w:rPr>
          <w:sz w:val="24"/>
          <w:szCs w:val="24"/>
        </w:rPr>
        <w:t>2.2</w:t>
      </w:r>
      <w:r>
        <w:rPr>
          <w:rFonts w:hint="eastAsia"/>
          <w:sz w:val="24"/>
          <w:szCs w:val="24"/>
        </w:rPr>
        <w:t>款、第</w:t>
      </w:r>
      <w:r>
        <w:rPr>
          <w:sz w:val="24"/>
          <w:szCs w:val="24"/>
        </w:rPr>
        <w:t>2.3</w:t>
      </w:r>
      <w:r>
        <w:rPr>
          <w:rFonts w:hint="eastAsia"/>
          <w:sz w:val="24"/>
          <w:szCs w:val="24"/>
        </w:rPr>
        <w:t>款是对竞争性谈判文件所作的澄清、修改及答复，构成竞争性谈判文件的组成部分</w:t>
      </w:r>
      <w:r>
        <w:rPr>
          <w:sz w:val="24"/>
          <w:szCs w:val="24"/>
        </w:rPr>
        <w:t xml:space="preserve">, </w:t>
      </w:r>
      <w:r>
        <w:rPr>
          <w:rFonts w:hint="eastAsia"/>
          <w:sz w:val="24"/>
          <w:szCs w:val="24"/>
        </w:rPr>
        <w:t>竞争性谈判文件及竞争性谈判文件的澄清、修改及答疑前后不一致的，以最后时间发出的为准。</w:t>
      </w:r>
    </w:p>
    <w:p>
      <w:pPr>
        <w:spacing w:line="360" w:lineRule="auto"/>
        <w:rPr>
          <w:b/>
          <w:bCs/>
          <w:sz w:val="24"/>
          <w:szCs w:val="24"/>
        </w:rPr>
      </w:pPr>
      <w:bookmarkStart w:id="103" w:name="_Toc152042320"/>
      <w:bookmarkStart w:id="104" w:name="_Toc152045544"/>
      <w:bookmarkStart w:id="105" w:name="_Toc144974512"/>
      <w:bookmarkStart w:id="106" w:name="_Toc179632562"/>
      <w:bookmarkStart w:id="107" w:name="_Toc14089"/>
      <w:r>
        <w:rPr>
          <w:b/>
          <w:bCs/>
          <w:sz w:val="24"/>
          <w:szCs w:val="24"/>
        </w:rPr>
        <w:t xml:space="preserve">2.2 </w:t>
      </w:r>
      <w:r>
        <w:rPr>
          <w:rFonts w:hint="eastAsia"/>
          <w:b/>
          <w:bCs/>
          <w:sz w:val="24"/>
          <w:szCs w:val="24"/>
        </w:rPr>
        <w:t>竞争性谈判文件的</w:t>
      </w:r>
      <w:bookmarkEnd w:id="103"/>
      <w:bookmarkEnd w:id="104"/>
      <w:bookmarkEnd w:id="105"/>
      <w:bookmarkEnd w:id="106"/>
      <w:r>
        <w:rPr>
          <w:rFonts w:hint="eastAsia"/>
          <w:b/>
          <w:bCs/>
          <w:sz w:val="24"/>
          <w:szCs w:val="24"/>
        </w:rPr>
        <w:t>异议答复</w:t>
      </w:r>
      <w:bookmarkEnd w:id="107"/>
    </w:p>
    <w:p>
      <w:pPr>
        <w:spacing w:line="360" w:lineRule="auto"/>
        <w:rPr>
          <w:sz w:val="24"/>
          <w:szCs w:val="24"/>
        </w:rPr>
      </w:pPr>
      <w:r>
        <w:rPr>
          <w:sz w:val="24"/>
          <w:szCs w:val="24"/>
        </w:rPr>
        <w:t>2.2.1</w:t>
      </w:r>
      <w:r>
        <w:rPr>
          <w:rFonts w:hint="eastAsia"/>
          <w:sz w:val="24"/>
          <w:szCs w:val="24"/>
        </w:rPr>
        <w:t>供应商应仔细阅读和检查竞争性谈判文件的全部内容。如发现缺页或附件不全，应及时向采购人提出，以便补齐。如有异议，应在供应商须知前附表规定的时间前以电子邮件形式要求采购人对竞争性谈判文件予以回复，提出异议时须注明项目名称及项目编号，不得署名。</w:t>
      </w:r>
    </w:p>
    <w:p>
      <w:pPr>
        <w:spacing w:line="360" w:lineRule="auto"/>
        <w:rPr>
          <w:rFonts w:hint="eastAsia"/>
          <w:b/>
          <w:bCs/>
          <w:sz w:val="24"/>
          <w:szCs w:val="24"/>
        </w:rPr>
      </w:pPr>
      <w:bookmarkStart w:id="108" w:name="_Toc29908"/>
      <w:bookmarkStart w:id="109" w:name="_Toc8528"/>
      <w:bookmarkStart w:id="110" w:name="_Toc4341"/>
      <w:r>
        <w:rPr>
          <w:rFonts w:hint="eastAsia"/>
          <w:b/>
          <w:bCs/>
          <w:sz w:val="24"/>
          <w:szCs w:val="24"/>
        </w:rPr>
        <w:t>3. 响应文件</w:t>
      </w:r>
      <w:bookmarkEnd w:id="99"/>
      <w:bookmarkEnd w:id="100"/>
      <w:bookmarkEnd w:id="101"/>
      <w:bookmarkEnd w:id="102"/>
      <w:bookmarkEnd w:id="108"/>
      <w:bookmarkEnd w:id="109"/>
      <w:bookmarkEnd w:id="110"/>
    </w:p>
    <w:p>
      <w:pPr>
        <w:spacing w:line="360" w:lineRule="auto"/>
        <w:rPr>
          <w:rFonts w:hint="eastAsia"/>
          <w:b/>
          <w:bCs/>
          <w:sz w:val="24"/>
          <w:szCs w:val="24"/>
        </w:rPr>
      </w:pPr>
      <w:bookmarkStart w:id="111" w:name="_Toc144974515"/>
      <w:bookmarkStart w:id="112" w:name="_Toc8155"/>
      <w:bookmarkStart w:id="113" w:name="_Toc152045547"/>
      <w:bookmarkStart w:id="114" w:name="_Toc179632565"/>
      <w:bookmarkStart w:id="115" w:name="_Toc152042323"/>
      <w:r>
        <w:rPr>
          <w:rFonts w:hint="eastAsia"/>
          <w:b/>
          <w:bCs/>
          <w:sz w:val="24"/>
          <w:szCs w:val="24"/>
        </w:rPr>
        <w:t>3.1 响应文件的组成</w:t>
      </w:r>
      <w:bookmarkEnd w:id="111"/>
      <w:bookmarkEnd w:id="112"/>
      <w:bookmarkEnd w:id="113"/>
      <w:bookmarkEnd w:id="114"/>
      <w:bookmarkEnd w:id="115"/>
      <w:bookmarkStart w:id="116" w:name="_Toc22580"/>
      <w:bookmarkStart w:id="117" w:name="_Toc144974516"/>
      <w:bookmarkStart w:id="118" w:name="_Toc179632566"/>
      <w:bookmarkStart w:id="119" w:name="_Toc152045548"/>
      <w:bookmarkStart w:id="120" w:name="_Toc152042324"/>
    </w:p>
    <w:p>
      <w:pPr>
        <w:spacing w:line="360" w:lineRule="auto"/>
        <w:rPr>
          <w:rFonts w:hint="eastAsia"/>
          <w:sz w:val="24"/>
          <w:szCs w:val="24"/>
        </w:rPr>
      </w:pPr>
      <w:r>
        <w:rPr>
          <w:rFonts w:hint="eastAsia"/>
          <w:sz w:val="24"/>
          <w:szCs w:val="24"/>
        </w:rPr>
        <w:t>（1）谈判申请及声明及附件；</w:t>
      </w:r>
    </w:p>
    <w:p>
      <w:pPr>
        <w:spacing w:line="360" w:lineRule="auto"/>
        <w:rPr>
          <w:rFonts w:hint="eastAsia"/>
          <w:sz w:val="24"/>
          <w:szCs w:val="24"/>
        </w:rPr>
      </w:pPr>
      <w:r>
        <w:rPr>
          <w:rFonts w:hint="eastAsia"/>
          <w:sz w:val="24"/>
          <w:szCs w:val="24"/>
        </w:rPr>
        <w:t>（2）授权委托书；</w:t>
      </w:r>
    </w:p>
    <w:p>
      <w:pPr>
        <w:spacing w:line="360" w:lineRule="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）投标报价书；</w:t>
      </w:r>
    </w:p>
    <w:p>
      <w:pPr>
        <w:spacing w:line="360" w:lineRule="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）资格审查资料；</w:t>
      </w:r>
    </w:p>
    <w:p>
      <w:pPr>
        <w:spacing w:line="360" w:lineRule="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其他资料</w:t>
      </w:r>
      <w:r>
        <w:rPr>
          <w:rFonts w:hint="eastAsia"/>
          <w:sz w:val="24"/>
          <w:szCs w:val="24"/>
          <w:lang w:eastAsia="zh-CN"/>
        </w:rPr>
        <w:t>；</w:t>
      </w:r>
    </w:p>
    <w:p>
      <w:pPr>
        <w:spacing w:line="360" w:lineRule="auto"/>
        <w:rPr>
          <w:b/>
          <w:bCs/>
          <w:sz w:val="24"/>
          <w:szCs w:val="24"/>
        </w:rPr>
      </w:pPr>
      <w:r>
        <w:rPr>
          <w:b/>
          <w:bCs/>
          <w:sz w:val="24"/>
          <w:szCs w:val="24"/>
        </w:rPr>
        <w:t xml:space="preserve">3.2 </w:t>
      </w:r>
      <w:r>
        <w:rPr>
          <w:rFonts w:hint="eastAsia"/>
          <w:b/>
          <w:bCs/>
          <w:sz w:val="24"/>
          <w:szCs w:val="24"/>
        </w:rPr>
        <w:t>响应报价</w:t>
      </w:r>
      <w:bookmarkEnd w:id="116"/>
      <w:bookmarkEnd w:id="117"/>
      <w:bookmarkEnd w:id="118"/>
      <w:bookmarkEnd w:id="119"/>
      <w:bookmarkEnd w:id="120"/>
    </w:p>
    <w:p>
      <w:pPr>
        <w:spacing w:line="360" w:lineRule="auto"/>
        <w:rPr>
          <w:sz w:val="24"/>
          <w:szCs w:val="24"/>
        </w:rPr>
      </w:pPr>
      <w:r>
        <w:rPr>
          <w:sz w:val="24"/>
          <w:szCs w:val="24"/>
        </w:rPr>
        <w:t xml:space="preserve">3.2.1 </w:t>
      </w:r>
      <w:r>
        <w:rPr>
          <w:rFonts w:hint="eastAsia"/>
          <w:sz w:val="24"/>
          <w:szCs w:val="24"/>
        </w:rPr>
        <w:t>供应商应按第五章“工程量清单”的要求填写相应表格。</w:t>
      </w:r>
    </w:p>
    <w:p>
      <w:pPr>
        <w:spacing w:line="360" w:lineRule="auto"/>
        <w:rPr>
          <w:sz w:val="24"/>
          <w:szCs w:val="24"/>
        </w:rPr>
      </w:pPr>
      <w:r>
        <w:rPr>
          <w:sz w:val="24"/>
          <w:szCs w:val="24"/>
        </w:rPr>
        <w:t xml:space="preserve">3.2.2 </w:t>
      </w:r>
      <w:r>
        <w:rPr>
          <w:rFonts w:hint="eastAsia"/>
          <w:sz w:val="24"/>
          <w:szCs w:val="24"/>
        </w:rPr>
        <w:t>供应商在响应截止时间前修改谈判申请及声明中的响应总报价，应同时修改第五章“工程量清单”中的相应报价。此修改须符合本章第</w:t>
      </w:r>
      <w:r>
        <w:rPr>
          <w:sz w:val="24"/>
          <w:szCs w:val="24"/>
        </w:rPr>
        <w:t>4.3</w:t>
      </w:r>
      <w:r>
        <w:rPr>
          <w:rFonts w:hint="eastAsia"/>
          <w:sz w:val="24"/>
          <w:szCs w:val="24"/>
        </w:rPr>
        <w:t>款的有关要求。</w:t>
      </w:r>
    </w:p>
    <w:p>
      <w:pPr>
        <w:spacing w:line="360" w:lineRule="auto"/>
        <w:rPr>
          <w:sz w:val="24"/>
          <w:szCs w:val="24"/>
        </w:rPr>
      </w:pPr>
      <w:r>
        <w:rPr>
          <w:sz w:val="24"/>
          <w:szCs w:val="24"/>
        </w:rPr>
        <w:t xml:space="preserve">3.2.3 </w:t>
      </w:r>
      <w:r>
        <w:rPr>
          <w:rFonts w:hint="eastAsia"/>
          <w:sz w:val="24"/>
          <w:szCs w:val="24"/>
        </w:rPr>
        <w:t>供应商报价根据采购人提供的施工图纸、现场勘察及相关技术资料，结合项目所在地市场行情、企业自身综合实力，综合市场风险、施工风险、政策风险等各种风险因素</w:t>
      </w:r>
      <w:r>
        <w:rPr>
          <w:sz w:val="24"/>
          <w:szCs w:val="24"/>
        </w:rPr>
        <w:t>,</w:t>
      </w:r>
      <w:r>
        <w:rPr>
          <w:rFonts w:hint="eastAsia"/>
          <w:sz w:val="24"/>
          <w:szCs w:val="24"/>
        </w:rPr>
        <w:t>工程临时用房及施工场地三通一平费用、施工纠纷协调费用、交竣工检测费用及施工所需土方款等费用，由成交人承担。</w:t>
      </w:r>
    </w:p>
    <w:p>
      <w:pPr>
        <w:spacing w:line="360" w:lineRule="auto"/>
        <w:rPr>
          <w:b/>
          <w:bCs/>
          <w:sz w:val="24"/>
          <w:szCs w:val="24"/>
        </w:rPr>
      </w:pPr>
      <w:bookmarkStart w:id="121" w:name="_Toc152042325"/>
      <w:bookmarkStart w:id="122" w:name="_Toc152045549"/>
      <w:bookmarkStart w:id="123" w:name="_Toc7696"/>
      <w:bookmarkStart w:id="124" w:name="_Toc144974517"/>
      <w:bookmarkStart w:id="125" w:name="_Toc179632567"/>
      <w:r>
        <w:rPr>
          <w:b/>
          <w:bCs/>
          <w:sz w:val="24"/>
          <w:szCs w:val="24"/>
        </w:rPr>
        <w:t xml:space="preserve">3.3 </w:t>
      </w:r>
      <w:r>
        <w:rPr>
          <w:rFonts w:hint="eastAsia"/>
          <w:b/>
          <w:bCs/>
          <w:sz w:val="24"/>
          <w:szCs w:val="24"/>
        </w:rPr>
        <w:t>响应有效期</w:t>
      </w:r>
      <w:bookmarkEnd w:id="121"/>
      <w:bookmarkEnd w:id="122"/>
      <w:bookmarkEnd w:id="123"/>
      <w:bookmarkEnd w:id="124"/>
      <w:bookmarkEnd w:id="125"/>
    </w:p>
    <w:p>
      <w:pPr>
        <w:spacing w:line="360" w:lineRule="auto"/>
        <w:rPr>
          <w:sz w:val="24"/>
          <w:szCs w:val="24"/>
        </w:rPr>
      </w:pPr>
      <w:r>
        <w:rPr>
          <w:sz w:val="24"/>
          <w:szCs w:val="24"/>
        </w:rPr>
        <w:t>3.3.1</w:t>
      </w:r>
      <w:r>
        <w:rPr>
          <w:rFonts w:hint="eastAsia"/>
          <w:sz w:val="24"/>
          <w:szCs w:val="24"/>
        </w:rPr>
        <w:t>在供应商须知前附表规定的响应有效期内，供应商不得要求撤销或修改其响应文件。</w:t>
      </w:r>
    </w:p>
    <w:p>
      <w:pPr>
        <w:spacing w:line="360" w:lineRule="auto"/>
        <w:rPr>
          <w:sz w:val="24"/>
          <w:szCs w:val="24"/>
        </w:rPr>
      </w:pPr>
      <w:r>
        <w:rPr>
          <w:sz w:val="24"/>
          <w:szCs w:val="24"/>
        </w:rPr>
        <w:t>3.3.2</w:t>
      </w:r>
      <w:r>
        <w:rPr>
          <w:rFonts w:hint="eastAsia"/>
          <w:sz w:val="24"/>
          <w:szCs w:val="24"/>
        </w:rPr>
        <w:t>出现特殊情况需要延长响应有效期的，采购人以书面形式通知所有供应商延长响应有效期。供应商同意延长的，应相应延长其谈判保证金的有效期，但不得要求或被允许修改或撤销其响应文件；供应商拒绝延长的，其响应失效，但供应商有权收回其谈判保证金。</w:t>
      </w:r>
    </w:p>
    <w:p>
      <w:pPr>
        <w:spacing w:line="360" w:lineRule="auto"/>
        <w:rPr>
          <w:b/>
          <w:bCs/>
          <w:sz w:val="24"/>
          <w:szCs w:val="24"/>
        </w:rPr>
      </w:pPr>
      <w:bookmarkStart w:id="126" w:name="_Toc152042327"/>
      <w:bookmarkStart w:id="127" w:name="_Toc152045551"/>
      <w:bookmarkStart w:id="128" w:name="_Toc144974519"/>
      <w:bookmarkStart w:id="129" w:name="_Toc3422"/>
      <w:bookmarkStart w:id="130" w:name="_Toc179632569"/>
      <w:r>
        <w:rPr>
          <w:b/>
          <w:bCs/>
          <w:sz w:val="24"/>
          <w:szCs w:val="24"/>
        </w:rPr>
        <w:t xml:space="preserve">3.5 </w:t>
      </w:r>
      <w:r>
        <w:rPr>
          <w:rFonts w:hint="eastAsia"/>
          <w:b/>
          <w:bCs/>
          <w:sz w:val="24"/>
          <w:szCs w:val="24"/>
        </w:rPr>
        <w:t>资格审查资料</w:t>
      </w:r>
      <w:bookmarkEnd w:id="126"/>
      <w:bookmarkEnd w:id="127"/>
      <w:bookmarkEnd w:id="128"/>
      <w:bookmarkEnd w:id="129"/>
      <w:bookmarkEnd w:id="130"/>
    </w:p>
    <w:p>
      <w:pPr>
        <w:spacing w:line="360" w:lineRule="auto"/>
        <w:rPr>
          <w:rFonts w:hint="eastAsia"/>
          <w:sz w:val="24"/>
          <w:szCs w:val="24"/>
        </w:rPr>
      </w:pPr>
      <w:r>
        <w:rPr>
          <w:sz w:val="24"/>
          <w:szCs w:val="24"/>
        </w:rPr>
        <w:t xml:space="preserve">3.5.1 </w:t>
      </w:r>
      <w:r>
        <w:rPr>
          <w:rFonts w:hint="eastAsia"/>
          <w:sz w:val="24"/>
          <w:szCs w:val="24"/>
        </w:rPr>
        <w:t>资格审查材料包括：见供应商须知前附表。</w:t>
      </w:r>
    </w:p>
    <w:p>
      <w:pPr>
        <w:spacing w:line="360" w:lineRule="auto"/>
        <w:rPr>
          <w:sz w:val="24"/>
          <w:szCs w:val="24"/>
        </w:rPr>
      </w:pPr>
      <w:r>
        <w:rPr>
          <w:sz w:val="24"/>
          <w:szCs w:val="24"/>
        </w:rPr>
        <w:t>3.5.</w:t>
      </w:r>
      <w:r>
        <w:rPr>
          <w:rFonts w:hint="eastAsia"/>
          <w:sz w:val="24"/>
          <w:szCs w:val="24"/>
        </w:rPr>
        <w:t>2其它要求：见供应商须知前附表。</w:t>
      </w:r>
    </w:p>
    <w:p>
      <w:pPr>
        <w:spacing w:line="360" w:lineRule="auto"/>
        <w:rPr>
          <w:b/>
          <w:bCs/>
          <w:sz w:val="24"/>
          <w:szCs w:val="24"/>
        </w:rPr>
      </w:pPr>
      <w:bookmarkStart w:id="131" w:name="_Toc152045554"/>
      <w:bookmarkStart w:id="132" w:name="_Toc152042330"/>
      <w:bookmarkStart w:id="133" w:name="_Toc144974522"/>
      <w:bookmarkStart w:id="134" w:name="_Toc25179"/>
      <w:bookmarkStart w:id="135" w:name="_Toc179632572"/>
      <w:r>
        <w:rPr>
          <w:b/>
          <w:bCs/>
          <w:sz w:val="24"/>
          <w:szCs w:val="24"/>
        </w:rPr>
        <w:t>3.</w:t>
      </w:r>
      <w:r>
        <w:rPr>
          <w:rFonts w:hint="eastAsia"/>
          <w:b/>
          <w:bCs/>
          <w:sz w:val="24"/>
          <w:szCs w:val="24"/>
        </w:rPr>
        <w:t>6</w:t>
      </w:r>
      <w:r>
        <w:rPr>
          <w:b/>
          <w:bCs/>
          <w:sz w:val="24"/>
          <w:szCs w:val="24"/>
        </w:rPr>
        <w:t xml:space="preserve"> </w:t>
      </w:r>
      <w:r>
        <w:rPr>
          <w:rFonts w:hint="eastAsia"/>
          <w:b/>
          <w:bCs/>
          <w:sz w:val="24"/>
          <w:szCs w:val="24"/>
        </w:rPr>
        <w:t>响应文件的编制</w:t>
      </w:r>
      <w:bookmarkEnd w:id="131"/>
      <w:bookmarkEnd w:id="132"/>
      <w:bookmarkEnd w:id="133"/>
      <w:bookmarkEnd w:id="134"/>
      <w:bookmarkEnd w:id="135"/>
    </w:p>
    <w:p>
      <w:pPr>
        <w:spacing w:line="360" w:lineRule="auto"/>
        <w:rPr>
          <w:sz w:val="24"/>
          <w:szCs w:val="24"/>
        </w:rPr>
      </w:pPr>
      <w:r>
        <w:rPr>
          <w:sz w:val="24"/>
          <w:szCs w:val="24"/>
        </w:rPr>
        <w:t>3.</w:t>
      </w:r>
      <w:r>
        <w:rPr>
          <w:rFonts w:hint="eastAsia"/>
          <w:sz w:val="24"/>
          <w:szCs w:val="24"/>
        </w:rPr>
        <w:t>6</w:t>
      </w:r>
      <w:r>
        <w:rPr>
          <w:sz w:val="24"/>
          <w:szCs w:val="24"/>
        </w:rPr>
        <w:t>.1</w:t>
      </w:r>
      <w:r>
        <w:rPr>
          <w:rFonts w:hint="eastAsia"/>
          <w:sz w:val="24"/>
          <w:szCs w:val="24"/>
        </w:rPr>
        <w:t>响应文件应按第七章“响应文件格式”进行编写，如有必要，可以增加附页，作为响应文件的组成部分。</w:t>
      </w:r>
    </w:p>
    <w:p>
      <w:pPr>
        <w:spacing w:line="360" w:lineRule="auto"/>
        <w:rPr>
          <w:sz w:val="24"/>
          <w:szCs w:val="24"/>
        </w:rPr>
      </w:pPr>
      <w:r>
        <w:rPr>
          <w:sz w:val="24"/>
          <w:szCs w:val="24"/>
        </w:rPr>
        <w:t>3.</w:t>
      </w:r>
      <w:r>
        <w:rPr>
          <w:rFonts w:hint="eastAsia"/>
          <w:sz w:val="24"/>
          <w:szCs w:val="24"/>
        </w:rPr>
        <w:t>6</w:t>
      </w:r>
      <w:r>
        <w:rPr>
          <w:sz w:val="24"/>
          <w:szCs w:val="24"/>
        </w:rPr>
        <w:t xml:space="preserve">.2 </w:t>
      </w:r>
      <w:r>
        <w:rPr>
          <w:rFonts w:hint="eastAsia"/>
          <w:sz w:val="24"/>
          <w:szCs w:val="24"/>
        </w:rPr>
        <w:t>响应文件应当对竞争性谈判文件有关工期、响应有效期、质量要求、技术标准和要求、采购范围等实质性内容作出响应。</w:t>
      </w:r>
    </w:p>
    <w:p>
      <w:pPr>
        <w:spacing w:line="360" w:lineRule="auto"/>
        <w:rPr>
          <w:sz w:val="24"/>
          <w:szCs w:val="24"/>
        </w:rPr>
      </w:pPr>
      <w:r>
        <w:rPr>
          <w:sz w:val="24"/>
          <w:szCs w:val="24"/>
        </w:rPr>
        <w:t>3</w:t>
      </w:r>
      <w:r>
        <w:rPr>
          <w:rFonts w:hint="eastAsia"/>
          <w:sz w:val="24"/>
          <w:szCs w:val="24"/>
        </w:rPr>
        <w:t>.6</w:t>
      </w:r>
      <w:r>
        <w:rPr>
          <w:sz w:val="24"/>
          <w:szCs w:val="24"/>
        </w:rPr>
        <w:t>.3</w:t>
      </w:r>
      <w:r>
        <w:rPr>
          <w:rFonts w:hint="eastAsia"/>
          <w:sz w:val="24"/>
          <w:szCs w:val="24"/>
        </w:rPr>
        <w:t>响应文件应打印，并由供应商的法定代表人或其委托代理人签字或盖章并加盖单位章。委托代理人签字的，响应文件应附法定代表人签署的授权委托书。</w:t>
      </w:r>
    </w:p>
    <w:p>
      <w:pPr>
        <w:spacing w:line="360" w:lineRule="auto"/>
        <w:rPr>
          <w:sz w:val="24"/>
          <w:szCs w:val="24"/>
        </w:rPr>
      </w:pPr>
      <w:r>
        <w:rPr>
          <w:sz w:val="24"/>
          <w:szCs w:val="24"/>
        </w:rPr>
        <w:t>3.</w:t>
      </w:r>
      <w:r>
        <w:rPr>
          <w:rFonts w:hint="eastAsia"/>
          <w:sz w:val="24"/>
          <w:szCs w:val="24"/>
        </w:rPr>
        <w:t>6</w:t>
      </w:r>
      <w:r>
        <w:rPr>
          <w:sz w:val="24"/>
          <w:szCs w:val="24"/>
        </w:rPr>
        <w:t>.4</w:t>
      </w:r>
      <w:r>
        <w:rPr>
          <w:rFonts w:hint="eastAsia"/>
          <w:sz w:val="24"/>
          <w:szCs w:val="24"/>
        </w:rPr>
        <w:t>内容：</w:t>
      </w:r>
    </w:p>
    <w:p>
      <w:pPr>
        <w:spacing w:line="360" w:lineRule="auto"/>
        <w:rPr>
          <w:sz w:val="24"/>
          <w:szCs w:val="24"/>
        </w:rPr>
      </w:pPr>
      <w:r>
        <w:rPr>
          <w:rFonts w:hint="eastAsia"/>
          <w:sz w:val="24"/>
          <w:szCs w:val="24"/>
        </w:rPr>
        <w:t>（</w:t>
      </w:r>
      <w:r>
        <w:rPr>
          <w:sz w:val="24"/>
          <w:szCs w:val="24"/>
        </w:rPr>
        <w:t>1</w:t>
      </w:r>
      <w:r>
        <w:rPr>
          <w:rFonts w:hint="eastAsia"/>
          <w:sz w:val="24"/>
          <w:szCs w:val="24"/>
        </w:rPr>
        <w:t>）谈判申请及声明及附件、法定代表人身份证明或附有法定代表人身份证明的授权委托书、投标报价书。</w:t>
      </w:r>
    </w:p>
    <w:p>
      <w:pPr>
        <w:spacing w:line="360" w:lineRule="auto"/>
        <w:rPr>
          <w:sz w:val="24"/>
          <w:szCs w:val="24"/>
        </w:rPr>
      </w:pPr>
      <w:r>
        <w:rPr>
          <w:rFonts w:hint="eastAsia"/>
          <w:sz w:val="24"/>
          <w:szCs w:val="24"/>
        </w:rPr>
        <w:t>（</w:t>
      </w:r>
      <w:r>
        <w:rPr>
          <w:sz w:val="24"/>
          <w:szCs w:val="24"/>
        </w:rPr>
        <w:t>2</w:t>
      </w:r>
      <w:r>
        <w:rPr>
          <w:rFonts w:hint="eastAsia"/>
          <w:sz w:val="24"/>
          <w:szCs w:val="24"/>
        </w:rPr>
        <w:t>）项目管理机构、资格审查资料、供应商须知前附表规定的其它材料。</w:t>
      </w:r>
    </w:p>
    <w:p>
      <w:pPr>
        <w:spacing w:line="360" w:lineRule="auto"/>
        <w:rPr>
          <w:sz w:val="24"/>
          <w:szCs w:val="24"/>
        </w:rPr>
      </w:pPr>
      <w:r>
        <w:rPr>
          <w:sz w:val="24"/>
          <w:szCs w:val="24"/>
        </w:rPr>
        <w:t>3.</w:t>
      </w:r>
      <w:r>
        <w:rPr>
          <w:rFonts w:hint="eastAsia"/>
          <w:sz w:val="24"/>
          <w:szCs w:val="24"/>
        </w:rPr>
        <w:t>6</w:t>
      </w:r>
      <w:r>
        <w:rPr>
          <w:sz w:val="24"/>
          <w:szCs w:val="24"/>
        </w:rPr>
        <w:t>.5</w:t>
      </w:r>
      <w:r>
        <w:rPr>
          <w:rFonts w:hint="eastAsia"/>
          <w:sz w:val="24"/>
          <w:szCs w:val="24"/>
        </w:rPr>
        <w:t>响应文件正本一份</w:t>
      </w:r>
      <w:r>
        <w:rPr>
          <w:sz w:val="24"/>
          <w:szCs w:val="24"/>
        </w:rPr>
        <w:t>,</w:t>
      </w:r>
      <w:r>
        <w:rPr>
          <w:rFonts w:hint="eastAsia"/>
          <w:sz w:val="24"/>
          <w:szCs w:val="24"/>
        </w:rPr>
        <w:t>副本数量见供应商须知前附表。正本和副本的封面上应清楚地标记“正本”或“副本”的字样。当副本和正本不一致时，以正本为准。</w:t>
      </w:r>
    </w:p>
    <w:p>
      <w:pPr>
        <w:spacing w:line="360" w:lineRule="auto"/>
        <w:rPr>
          <w:sz w:val="24"/>
          <w:szCs w:val="24"/>
        </w:rPr>
      </w:pPr>
      <w:r>
        <w:rPr>
          <w:sz w:val="24"/>
          <w:szCs w:val="24"/>
        </w:rPr>
        <w:t>3.</w:t>
      </w:r>
      <w:r>
        <w:rPr>
          <w:rFonts w:hint="eastAsia"/>
          <w:sz w:val="24"/>
          <w:szCs w:val="24"/>
        </w:rPr>
        <w:t>6</w:t>
      </w:r>
      <w:r>
        <w:rPr>
          <w:sz w:val="24"/>
          <w:szCs w:val="24"/>
        </w:rPr>
        <w:t>.</w:t>
      </w:r>
      <w:r>
        <w:rPr>
          <w:rFonts w:hint="eastAsia"/>
          <w:sz w:val="24"/>
          <w:szCs w:val="24"/>
        </w:rPr>
        <w:t>6</w:t>
      </w:r>
      <w:r>
        <w:rPr>
          <w:sz w:val="24"/>
          <w:szCs w:val="24"/>
        </w:rPr>
        <w:t xml:space="preserve"> </w:t>
      </w:r>
      <w:r>
        <w:rPr>
          <w:rFonts w:hint="eastAsia"/>
          <w:sz w:val="24"/>
          <w:szCs w:val="24"/>
        </w:rPr>
        <w:t>响应文件的正本与副本应分别装订成册，具体装订要求见供应商须知前附表规定。</w:t>
      </w:r>
    </w:p>
    <w:p>
      <w:pPr>
        <w:spacing w:line="360" w:lineRule="auto"/>
        <w:rPr>
          <w:rFonts w:hint="eastAsia"/>
          <w:b/>
          <w:bCs/>
          <w:sz w:val="24"/>
          <w:szCs w:val="24"/>
        </w:rPr>
      </w:pPr>
      <w:bookmarkStart w:id="136" w:name="_Toc24859"/>
      <w:bookmarkStart w:id="137" w:name="_Toc152045555"/>
      <w:bookmarkStart w:id="138" w:name="_Toc12301"/>
      <w:bookmarkStart w:id="139" w:name="_Toc152042331"/>
      <w:bookmarkStart w:id="140" w:name="_Toc21687"/>
      <w:bookmarkStart w:id="141" w:name="_Toc144974523"/>
      <w:bookmarkStart w:id="142" w:name="_Toc179632573"/>
      <w:r>
        <w:rPr>
          <w:rFonts w:hint="eastAsia"/>
          <w:b/>
          <w:bCs/>
          <w:sz w:val="24"/>
          <w:szCs w:val="24"/>
        </w:rPr>
        <w:t>4. 响应</w:t>
      </w:r>
      <w:bookmarkEnd w:id="136"/>
      <w:bookmarkEnd w:id="137"/>
      <w:bookmarkEnd w:id="138"/>
      <w:bookmarkEnd w:id="139"/>
      <w:bookmarkEnd w:id="140"/>
      <w:bookmarkEnd w:id="141"/>
      <w:bookmarkEnd w:id="142"/>
    </w:p>
    <w:p>
      <w:pPr>
        <w:spacing w:line="360" w:lineRule="auto"/>
        <w:rPr>
          <w:rFonts w:hint="eastAsia"/>
          <w:b/>
          <w:bCs/>
          <w:sz w:val="24"/>
          <w:szCs w:val="24"/>
        </w:rPr>
      </w:pPr>
      <w:bookmarkStart w:id="143" w:name="_Toc152042332"/>
      <w:bookmarkStart w:id="144" w:name="_Toc179632574"/>
      <w:bookmarkStart w:id="145" w:name="_Toc6365"/>
      <w:bookmarkStart w:id="146" w:name="_Toc152045556"/>
      <w:bookmarkStart w:id="147" w:name="_Toc144974524"/>
      <w:r>
        <w:rPr>
          <w:rFonts w:hint="eastAsia"/>
          <w:b/>
          <w:bCs/>
          <w:sz w:val="24"/>
          <w:szCs w:val="24"/>
        </w:rPr>
        <w:t>4.1 响应文件的密封和标记</w:t>
      </w:r>
      <w:bookmarkEnd w:id="143"/>
      <w:bookmarkEnd w:id="144"/>
      <w:bookmarkEnd w:id="145"/>
      <w:bookmarkEnd w:id="146"/>
      <w:bookmarkEnd w:id="147"/>
    </w:p>
    <w:p>
      <w:pPr>
        <w:spacing w:line="360" w:lineRule="auto"/>
        <w:rPr>
          <w:rFonts w:hint="eastAsia"/>
          <w:sz w:val="24"/>
          <w:szCs w:val="24"/>
        </w:rPr>
      </w:pPr>
      <w:r>
        <w:rPr>
          <w:rFonts w:hint="eastAsia"/>
          <w:sz w:val="24"/>
          <w:szCs w:val="24"/>
        </w:rPr>
        <w:t>4.1.1响应文件的正本与副本分开包装或集中包装均可，如果采用分开包装应清楚地标记“正本”或“副本”字样。封套的封口处加贴封条，并在封套的封口处加盖供应商单位章。</w:t>
      </w:r>
    </w:p>
    <w:p>
      <w:pPr>
        <w:spacing w:line="360" w:lineRule="auto"/>
        <w:rPr>
          <w:rFonts w:hint="eastAsia"/>
          <w:sz w:val="24"/>
          <w:szCs w:val="24"/>
        </w:rPr>
      </w:pPr>
      <w:r>
        <w:rPr>
          <w:rFonts w:hint="eastAsia"/>
          <w:sz w:val="24"/>
          <w:szCs w:val="24"/>
        </w:rPr>
        <w:t>4.1.2 响应文件的封套上应写明的其他内容见供应商须知前附表。</w:t>
      </w:r>
    </w:p>
    <w:p>
      <w:pPr>
        <w:spacing w:line="360" w:lineRule="auto"/>
        <w:rPr>
          <w:rFonts w:hint="eastAsia"/>
          <w:sz w:val="24"/>
          <w:szCs w:val="24"/>
        </w:rPr>
      </w:pPr>
      <w:r>
        <w:rPr>
          <w:rFonts w:hint="eastAsia"/>
          <w:sz w:val="24"/>
          <w:szCs w:val="24"/>
        </w:rPr>
        <w:t>4.1.3 未按本章第4.1.1项或第4.1.2项要求密封和加写标记的响应文件，采购人应予拒收。</w:t>
      </w:r>
    </w:p>
    <w:p>
      <w:pPr>
        <w:spacing w:line="360" w:lineRule="auto"/>
        <w:rPr>
          <w:b/>
          <w:bCs/>
          <w:sz w:val="24"/>
          <w:szCs w:val="24"/>
        </w:rPr>
      </w:pPr>
      <w:bookmarkStart w:id="148" w:name="_Toc179632575"/>
      <w:bookmarkStart w:id="149" w:name="_Toc152042333"/>
      <w:bookmarkStart w:id="150" w:name="_Toc144974525"/>
      <w:bookmarkStart w:id="151" w:name="_Toc152045557"/>
      <w:bookmarkStart w:id="152" w:name="_Toc30636"/>
      <w:r>
        <w:rPr>
          <w:b/>
          <w:bCs/>
          <w:sz w:val="24"/>
          <w:szCs w:val="24"/>
        </w:rPr>
        <w:t xml:space="preserve">4.2 </w:t>
      </w:r>
      <w:r>
        <w:rPr>
          <w:rFonts w:hint="eastAsia"/>
          <w:b/>
          <w:bCs/>
          <w:sz w:val="24"/>
          <w:szCs w:val="24"/>
        </w:rPr>
        <w:t>响应文件的递交</w:t>
      </w:r>
      <w:bookmarkEnd w:id="148"/>
      <w:bookmarkEnd w:id="149"/>
      <w:bookmarkEnd w:id="150"/>
      <w:bookmarkEnd w:id="151"/>
      <w:bookmarkEnd w:id="152"/>
    </w:p>
    <w:p>
      <w:pPr>
        <w:spacing w:line="360" w:lineRule="auto"/>
        <w:rPr>
          <w:sz w:val="24"/>
          <w:szCs w:val="24"/>
        </w:rPr>
      </w:pPr>
      <w:r>
        <w:rPr>
          <w:sz w:val="24"/>
          <w:szCs w:val="24"/>
        </w:rPr>
        <w:t>4.2.1</w:t>
      </w:r>
      <w:r>
        <w:rPr>
          <w:rFonts w:hint="eastAsia"/>
          <w:sz w:val="24"/>
          <w:szCs w:val="24"/>
        </w:rPr>
        <w:t>供应商递交响应文件截止时间：见供应商须知前附表。</w:t>
      </w:r>
    </w:p>
    <w:p>
      <w:pPr>
        <w:spacing w:line="360" w:lineRule="auto"/>
        <w:rPr>
          <w:sz w:val="24"/>
          <w:szCs w:val="24"/>
        </w:rPr>
      </w:pPr>
      <w:r>
        <w:rPr>
          <w:sz w:val="24"/>
          <w:szCs w:val="24"/>
        </w:rPr>
        <w:t>4.2.2</w:t>
      </w:r>
      <w:r>
        <w:rPr>
          <w:rFonts w:hint="eastAsia"/>
          <w:sz w:val="24"/>
          <w:szCs w:val="24"/>
        </w:rPr>
        <w:t>供应商递交响应文件的地点：见供应商须知前附表。</w:t>
      </w:r>
    </w:p>
    <w:p>
      <w:pPr>
        <w:spacing w:line="360" w:lineRule="auto"/>
        <w:rPr>
          <w:sz w:val="24"/>
          <w:szCs w:val="24"/>
        </w:rPr>
      </w:pPr>
      <w:r>
        <w:rPr>
          <w:sz w:val="24"/>
          <w:szCs w:val="24"/>
        </w:rPr>
        <w:t>4.2.3</w:t>
      </w:r>
      <w:r>
        <w:rPr>
          <w:rFonts w:hint="eastAsia"/>
          <w:sz w:val="24"/>
          <w:szCs w:val="24"/>
        </w:rPr>
        <w:t>除供应商须知前附表另有规定外，供应商所递交的响应文件不予退还。</w:t>
      </w:r>
    </w:p>
    <w:p>
      <w:pPr>
        <w:spacing w:line="360" w:lineRule="auto"/>
        <w:rPr>
          <w:sz w:val="24"/>
          <w:szCs w:val="24"/>
        </w:rPr>
      </w:pPr>
      <w:r>
        <w:rPr>
          <w:sz w:val="24"/>
          <w:szCs w:val="24"/>
        </w:rPr>
        <w:t>4.2.4</w:t>
      </w:r>
      <w:r>
        <w:rPr>
          <w:rFonts w:hint="eastAsia"/>
          <w:sz w:val="24"/>
          <w:szCs w:val="24"/>
        </w:rPr>
        <w:t>供应商递交响应文件后，由该项目的法定代表人或其委托代理人在响应文件递交确认书上签字确认。</w:t>
      </w:r>
    </w:p>
    <w:p>
      <w:pPr>
        <w:spacing w:line="360" w:lineRule="auto"/>
        <w:rPr>
          <w:sz w:val="24"/>
          <w:szCs w:val="24"/>
        </w:rPr>
      </w:pPr>
      <w:r>
        <w:rPr>
          <w:sz w:val="24"/>
          <w:szCs w:val="24"/>
        </w:rPr>
        <w:t>4.2.5</w:t>
      </w:r>
      <w:r>
        <w:rPr>
          <w:rFonts w:hint="eastAsia"/>
          <w:sz w:val="24"/>
          <w:szCs w:val="24"/>
        </w:rPr>
        <w:t>逾期送达的或者未送达指定地点的响应文件，采购人不予受理。</w:t>
      </w:r>
    </w:p>
    <w:p>
      <w:pPr>
        <w:spacing w:line="360" w:lineRule="auto"/>
        <w:rPr>
          <w:b/>
          <w:bCs/>
          <w:sz w:val="24"/>
          <w:szCs w:val="24"/>
        </w:rPr>
      </w:pPr>
      <w:bookmarkStart w:id="153" w:name="_Toc152042334"/>
      <w:bookmarkStart w:id="154" w:name="_Toc144974526"/>
      <w:bookmarkStart w:id="155" w:name="_Toc8877"/>
      <w:bookmarkStart w:id="156" w:name="_Toc152045558"/>
      <w:bookmarkStart w:id="157" w:name="_Toc179632576"/>
      <w:r>
        <w:rPr>
          <w:b/>
          <w:bCs/>
          <w:sz w:val="24"/>
          <w:szCs w:val="24"/>
        </w:rPr>
        <w:t xml:space="preserve">4.3 </w:t>
      </w:r>
      <w:r>
        <w:rPr>
          <w:rFonts w:hint="eastAsia"/>
          <w:b/>
          <w:bCs/>
          <w:sz w:val="24"/>
          <w:szCs w:val="24"/>
        </w:rPr>
        <w:t>响应文件的修改与撤回</w:t>
      </w:r>
      <w:bookmarkEnd w:id="153"/>
      <w:bookmarkEnd w:id="154"/>
      <w:bookmarkEnd w:id="155"/>
      <w:bookmarkEnd w:id="156"/>
      <w:bookmarkEnd w:id="157"/>
    </w:p>
    <w:p>
      <w:pPr>
        <w:spacing w:line="360" w:lineRule="auto"/>
        <w:rPr>
          <w:sz w:val="24"/>
          <w:szCs w:val="24"/>
        </w:rPr>
      </w:pPr>
      <w:r>
        <w:rPr>
          <w:sz w:val="24"/>
          <w:szCs w:val="24"/>
        </w:rPr>
        <w:t xml:space="preserve">4.3.1 </w:t>
      </w:r>
      <w:r>
        <w:rPr>
          <w:rFonts w:hint="eastAsia"/>
          <w:sz w:val="24"/>
          <w:szCs w:val="24"/>
        </w:rPr>
        <w:t>在本章第</w:t>
      </w:r>
      <w:r>
        <w:rPr>
          <w:sz w:val="24"/>
          <w:szCs w:val="24"/>
        </w:rPr>
        <w:t>4.2.1</w:t>
      </w:r>
      <w:r>
        <w:rPr>
          <w:rFonts w:hint="eastAsia"/>
          <w:sz w:val="24"/>
          <w:szCs w:val="24"/>
        </w:rPr>
        <w:t>项规定的响应截止时间前，供应商可以修改或撤回已递交的响应文件，但应以书面形式通知采购人。</w:t>
      </w:r>
    </w:p>
    <w:p>
      <w:pPr>
        <w:spacing w:line="360" w:lineRule="auto"/>
        <w:rPr>
          <w:sz w:val="24"/>
          <w:szCs w:val="24"/>
        </w:rPr>
      </w:pPr>
      <w:r>
        <w:rPr>
          <w:sz w:val="24"/>
          <w:szCs w:val="24"/>
        </w:rPr>
        <w:t xml:space="preserve">4.3.2 </w:t>
      </w:r>
      <w:r>
        <w:rPr>
          <w:rFonts w:hint="eastAsia"/>
          <w:sz w:val="24"/>
          <w:szCs w:val="24"/>
        </w:rPr>
        <w:t>供应商修改或撤回已递交响应文件的书面通知应按照本章第</w:t>
      </w:r>
      <w:r>
        <w:rPr>
          <w:sz w:val="24"/>
          <w:szCs w:val="24"/>
        </w:rPr>
        <w:t>3.7.3</w:t>
      </w:r>
      <w:r>
        <w:rPr>
          <w:rFonts w:hint="eastAsia"/>
          <w:sz w:val="24"/>
          <w:szCs w:val="24"/>
        </w:rPr>
        <w:t>项的要求签字或盖章。由该项目的法定代表人或其委托代理人在响应文件递交确认书上签字确认。</w:t>
      </w:r>
    </w:p>
    <w:p>
      <w:pPr>
        <w:spacing w:line="360" w:lineRule="auto"/>
        <w:rPr>
          <w:sz w:val="24"/>
          <w:szCs w:val="24"/>
        </w:rPr>
      </w:pPr>
      <w:r>
        <w:rPr>
          <w:sz w:val="24"/>
          <w:szCs w:val="24"/>
        </w:rPr>
        <w:t xml:space="preserve">4.3.3 </w:t>
      </w:r>
      <w:r>
        <w:rPr>
          <w:rFonts w:hint="eastAsia"/>
          <w:sz w:val="24"/>
          <w:szCs w:val="24"/>
        </w:rPr>
        <w:t>修改的内容为响应文件的组成部分。修改的响应文件应按照本章第</w:t>
      </w:r>
      <w:r>
        <w:rPr>
          <w:sz w:val="24"/>
          <w:szCs w:val="24"/>
        </w:rPr>
        <w:t>3</w:t>
      </w:r>
      <w:r>
        <w:rPr>
          <w:rFonts w:hint="eastAsia"/>
          <w:sz w:val="24"/>
          <w:szCs w:val="24"/>
        </w:rPr>
        <w:t>条、第</w:t>
      </w:r>
      <w:r>
        <w:rPr>
          <w:sz w:val="24"/>
          <w:szCs w:val="24"/>
        </w:rPr>
        <w:t>4</w:t>
      </w:r>
      <w:r>
        <w:rPr>
          <w:rFonts w:hint="eastAsia"/>
          <w:sz w:val="24"/>
          <w:szCs w:val="24"/>
        </w:rPr>
        <w:t>条规定进行编制、密封、标记和递交，并标明“修改”字样。</w:t>
      </w:r>
    </w:p>
    <w:p>
      <w:pPr>
        <w:spacing w:line="360" w:lineRule="auto"/>
        <w:rPr>
          <w:b/>
          <w:bCs/>
          <w:sz w:val="24"/>
          <w:szCs w:val="24"/>
        </w:rPr>
      </w:pPr>
      <w:bookmarkStart w:id="158" w:name="_Toc5579"/>
      <w:bookmarkStart w:id="159" w:name="_Toc152042335"/>
      <w:bookmarkStart w:id="160" w:name="_Toc2854"/>
      <w:bookmarkStart w:id="161" w:name="_Toc12238"/>
      <w:bookmarkStart w:id="162" w:name="_Toc179632577"/>
      <w:bookmarkStart w:id="163" w:name="_Toc152045559"/>
      <w:bookmarkStart w:id="164" w:name="_Toc144974527"/>
      <w:r>
        <w:rPr>
          <w:b/>
          <w:bCs/>
          <w:sz w:val="24"/>
          <w:szCs w:val="24"/>
        </w:rPr>
        <w:t xml:space="preserve">5. </w:t>
      </w:r>
      <w:bookmarkEnd w:id="158"/>
      <w:bookmarkEnd w:id="159"/>
      <w:bookmarkEnd w:id="160"/>
      <w:bookmarkEnd w:id="161"/>
      <w:bookmarkEnd w:id="162"/>
      <w:bookmarkEnd w:id="163"/>
      <w:bookmarkEnd w:id="164"/>
      <w:r>
        <w:rPr>
          <w:rFonts w:hint="eastAsia"/>
          <w:b/>
          <w:bCs/>
          <w:sz w:val="24"/>
          <w:szCs w:val="24"/>
        </w:rPr>
        <w:t>谈判会</w:t>
      </w:r>
    </w:p>
    <w:p>
      <w:pPr>
        <w:spacing w:line="360" w:lineRule="auto"/>
        <w:rPr>
          <w:b/>
          <w:bCs/>
          <w:sz w:val="24"/>
          <w:szCs w:val="24"/>
        </w:rPr>
      </w:pPr>
      <w:bookmarkStart w:id="165" w:name="_Toc28846"/>
      <w:r>
        <w:rPr>
          <w:b/>
          <w:bCs/>
          <w:sz w:val="24"/>
          <w:szCs w:val="24"/>
        </w:rPr>
        <w:t xml:space="preserve">5.1 </w:t>
      </w:r>
      <w:r>
        <w:rPr>
          <w:rFonts w:hint="eastAsia"/>
          <w:b/>
          <w:bCs/>
          <w:sz w:val="24"/>
          <w:szCs w:val="24"/>
        </w:rPr>
        <w:t>谈判会时间和地点</w:t>
      </w:r>
      <w:bookmarkEnd w:id="165"/>
    </w:p>
    <w:p>
      <w:pPr>
        <w:spacing w:line="360" w:lineRule="auto"/>
        <w:ind w:firstLine="480" w:firstLineChars="200"/>
        <w:rPr>
          <w:sz w:val="24"/>
          <w:szCs w:val="24"/>
        </w:rPr>
      </w:pPr>
      <w:r>
        <w:rPr>
          <w:rFonts w:hint="eastAsia"/>
          <w:sz w:val="24"/>
          <w:szCs w:val="24"/>
        </w:rPr>
        <w:t>采购人在供应商须知前附表规定的时间和地点公开开标，编制本竞争性谈判响应文件的所有供应商的法定代表人或其委托代理人准时参加。</w:t>
      </w:r>
    </w:p>
    <w:p>
      <w:pPr>
        <w:spacing w:line="360" w:lineRule="auto"/>
        <w:rPr>
          <w:b/>
          <w:bCs/>
          <w:sz w:val="24"/>
          <w:szCs w:val="24"/>
        </w:rPr>
      </w:pPr>
      <w:bookmarkStart w:id="166" w:name="_Toc32057"/>
      <w:r>
        <w:rPr>
          <w:b/>
          <w:bCs/>
          <w:sz w:val="24"/>
          <w:szCs w:val="24"/>
        </w:rPr>
        <w:t xml:space="preserve">5.2 </w:t>
      </w:r>
      <w:r>
        <w:rPr>
          <w:rFonts w:hint="eastAsia"/>
          <w:b/>
          <w:bCs/>
          <w:sz w:val="24"/>
          <w:szCs w:val="24"/>
        </w:rPr>
        <w:t>谈判会程序</w:t>
      </w:r>
      <w:bookmarkEnd w:id="166"/>
    </w:p>
    <w:p>
      <w:pPr>
        <w:spacing w:line="360" w:lineRule="auto"/>
        <w:rPr>
          <w:sz w:val="24"/>
          <w:szCs w:val="24"/>
        </w:rPr>
      </w:pPr>
      <w:r>
        <w:rPr>
          <w:sz w:val="24"/>
          <w:szCs w:val="24"/>
        </w:rPr>
        <w:t>5.2.1</w:t>
      </w:r>
      <w:r>
        <w:rPr>
          <w:rFonts w:hint="eastAsia"/>
          <w:sz w:val="24"/>
          <w:szCs w:val="24"/>
        </w:rPr>
        <w:t>主持人按下列程序进行谈判会：</w:t>
      </w:r>
    </w:p>
    <w:p>
      <w:pPr>
        <w:spacing w:line="360" w:lineRule="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宣布谈判会纪律。</w:t>
      </w:r>
    </w:p>
    <w:p>
      <w:pPr>
        <w:spacing w:line="360" w:lineRule="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公布在响应截止时间前递交响应文件的供应商名称。</w:t>
      </w:r>
    </w:p>
    <w:p>
      <w:pPr>
        <w:spacing w:line="360" w:lineRule="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宣布采购人、监标人等有关人员姓名。</w:t>
      </w:r>
    </w:p>
    <w:p>
      <w:pPr>
        <w:spacing w:line="360" w:lineRule="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按照供应商须知36条检查响应文件的密封情况。</w:t>
      </w:r>
    </w:p>
    <w:p>
      <w:pPr>
        <w:spacing w:line="360" w:lineRule="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宣布谈判顺序：按响应文件递交的先后顺序进行。</w:t>
      </w:r>
    </w:p>
    <w:p>
      <w:pPr>
        <w:spacing w:line="360" w:lineRule="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休会，进入评审谈判阶段。</w:t>
      </w:r>
    </w:p>
    <w:p>
      <w:pPr>
        <w:spacing w:line="360" w:lineRule="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宣布结果，谈判会结束。</w:t>
      </w:r>
    </w:p>
    <w:p>
      <w:pPr>
        <w:spacing w:line="360" w:lineRule="auto"/>
        <w:rPr>
          <w:sz w:val="24"/>
          <w:szCs w:val="24"/>
        </w:rPr>
      </w:pPr>
      <w:r>
        <w:rPr>
          <w:sz w:val="24"/>
          <w:szCs w:val="24"/>
        </w:rPr>
        <w:t>5.2.2</w:t>
      </w:r>
      <w:r>
        <w:rPr>
          <w:rFonts w:hint="eastAsia"/>
          <w:sz w:val="24"/>
          <w:szCs w:val="24"/>
        </w:rPr>
        <w:t>供应商参加谈判会的要求</w:t>
      </w:r>
      <w:r>
        <w:rPr>
          <w:sz w:val="24"/>
          <w:szCs w:val="24"/>
        </w:rPr>
        <w:t>,</w:t>
      </w:r>
      <w:r>
        <w:rPr>
          <w:rFonts w:hint="eastAsia"/>
          <w:sz w:val="24"/>
          <w:szCs w:val="24"/>
        </w:rPr>
        <w:t>见供应商须知前附表。</w:t>
      </w:r>
    </w:p>
    <w:p>
      <w:pPr>
        <w:spacing w:line="360" w:lineRule="auto"/>
        <w:rPr>
          <w:b/>
          <w:bCs/>
          <w:sz w:val="24"/>
          <w:szCs w:val="24"/>
        </w:rPr>
      </w:pPr>
      <w:bookmarkStart w:id="167" w:name="_Toc4675"/>
      <w:bookmarkStart w:id="168" w:name="_Toc152045562"/>
      <w:bookmarkStart w:id="169" w:name="_Toc1780"/>
      <w:bookmarkStart w:id="170" w:name="_Toc178"/>
      <w:bookmarkStart w:id="171" w:name="_Toc179632580"/>
      <w:bookmarkStart w:id="172" w:name="_Toc152042338"/>
      <w:bookmarkStart w:id="173" w:name="_Toc144974530"/>
      <w:r>
        <w:rPr>
          <w:b/>
          <w:bCs/>
          <w:sz w:val="24"/>
          <w:szCs w:val="24"/>
        </w:rPr>
        <w:t xml:space="preserve">6. </w:t>
      </w:r>
      <w:r>
        <w:rPr>
          <w:rFonts w:hint="eastAsia"/>
          <w:b/>
          <w:bCs/>
          <w:sz w:val="24"/>
          <w:szCs w:val="24"/>
        </w:rPr>
        <w:t>评</w:t>
      </w:r>
      <w:bookmarkEnd w:id="167"/>
      <w:bookmarkEnd w:id="168"/>
      <w:bookmarkEnd w:id="169"/>
      <w:bookmarkEnd w:id="170"/>
      <w:bookmarkEnd w:id="171"/>
      <w:bookmarkEnd w:id="172"/>
      <w:bookmarkEnd w:id="173"/>
      <w:r>
        <w:rPr>
          <w:rFonts w:hint="eastAsia"/>
          <w:b/>
          <w:bCs/>
          <w:sz w:val="24"/>
          <w:szCs w:val="24"/>
        </w:rPr>
        <w:t>审</w:t>
      </w:r>
    </w:p>
    <w:p>
      <w:pPr>
        <w:spacing w:line="360" w:lineRule="auto"/>
        <w:rPr>
          <w:b/>
          <w:bCs/>
          <w:sz w:val="24"/>
          <w:szCs w:val="24"/>
        </w:rPr>
      </w:pPr>
      <w:bookmarkStart w:id="174" w:name="_Toc144974531"/>
      <w:bookmarkStart w:id="175" w:name="_Toc27284"/>
      <w:bookmarkStart w:id="176" w:name="_Toc152042339"/>
      <w:bookmarkStart w:id="177" w:name="_Toc179632581"/>
      <w:bookmarkStart w:id="178" w:name="_Toc152045563"/>
      <w:r>
        <w:rPr>
          <w:b/>
          <w:bCs/>
          <w:sz w:val="24"/>
          <w:szCs w:val="24"/>
        </w:rPr>
        <w:t xml:space="preserve">6.1 </w:t>
      </w:r>
      <w:r>
        <w:rPr>
          <w:rFonts w:hint="eastAsia"/>
          <w:b/>
          <w:bCs/>
          <w:sz w:val="24"/>
          <w:szCs w:val="24"/>
        </w:rPr>
        <w:t>谈判小组</w:t>
      </w:r>
      <w:bookmarkEnd w:id="174"/>
      <w:bookmarkEnd w:id="175"/>
      <w:bookmarkEnd w:id="176"/>
      <w:bookmarkEnd w:id="177"/>
      <w:bookmarkEnd w:id="178"/>
    </w:p>
    <w:p>
      <w:pPr>
        <w:spacing w:line="360" w:lineRule="auto"/>
        <w:rPr>
          <w:sz w:val="24"/>
          <w:szCs w:val="24"/>
        </w:rPr>
      </w:pPr>
      <w:r>
        <w:rPr>
          <w:sz w:val="24"/>
          <w:szCs w:val="24"/>
        </w:rPr>
        <w:t>6.1.1</w:t>
      </w:r>
      <w:r>
        <w:rPr>
          <w:rFonts w:hint="eastAsia"/>
          <w:sz w:val="24"/>
          <w:szCs w:val="24"/>
        </w:rPr>
        <w:t>谈判由采购人依法组建的谈判小组负责。成员人数为</w:t>
      </w:r>
      <w:r>
        <w:rPr>
          <w:sz w:val="24"/>
          <w:szCs w:val="24"/>
        </w:rPr>
        <w:t xml:space="preserve"> 3 </w:t>
      </w:r>
      <w:r>
        <w:rPr>
          <w:rFonts w:hint="eastAsia"/>
          <w:sz w:val="24"/>
          <w:szCs w:val="24"/>
        </w:rPr>
        <w:t>人以上单数组成</w:t>
      </w:r>
      <w:r>
        <w:rPr>
          <w:sz w:val="24"/>
          <w:szCs w:val="24"/>
        </w:rPr>
        <w:t>,</w:t>
      </w:r>
      <w:r>
        <w:rPr>
          <w:rFonts w:hint="eastAsia"/>
          <w:sz w:val="24"/>
          <w:szCs w:val="24"/>
        </w:rPr>
        <w:t>由采购人在有关监督部门的监督下，从评标专家库中随机抽取。谈判小组成员的名单在成交结果确定前应当保密。</w:t>
      </w:r>
    </w:p>
    <w:p>
      <w:pPr>
        <w:spacing w:line="360" w:lineRule="auto"/>
        <w:rPr>
          <w:rFonts w:hint="eastAsia"/>
          <w:sz w:val="24"/>
          <w:szCs w:val="24"/>
        </w:rPr>
      </w:pPr>
      <w:r>
        <w:rPr>
          <w:sz w:val="24"/>
          <w:szCs w:val="24"/>
        </w:rPr>
        <w:t>6.1.2</w:t>
      </w:r>
      <w:r>
        <w:rPr>
          <w:rFonts w:hint="eastAsia"/>
          <w:sz w:val="24"/>
          <w:szCs w:val="24"/>
        </w:rPr>
        <w:t>谈判小组成员有下列情形之一的，应当回避：</w:t>
      </w:r>
    </w:p>
    <w:p>
      <w:pPr>
        <w:spacing w:line="360" w:lineRule="auto"/>
        <w:rPr>
          <w:sz w:val="24"/>
          <w:szCs w:val="24"/>
        </w:rPr>
      </w:pPr>
      <w:r>
        <w:rPr>
          <w:rFonts w:hint="eastAsia"/>
          <w:sz w:val="24"/>
          <w:szCs w:val="24"/>
        </w:rPr>
        <w:t>（</w:t>
      </w:r>
      <w:r>
        <w:rPr>
          <w:sz w:val="24"/>
          <w:szCs w:val="24"/>
        </w:rPr>
        <w:t>1</w:t>
      </w:r>
      <w:r>
        <w:rPr>
          <w:rFonts w:hint="eastAsia"/>
          <w:sz w:val="24"/>
          <w:szCs w:val="24"/>
        </w:rPr>
        <w:t>）采购人或供应商的主要负责人的近亲属；</w:t>
      </w:r>
    </w:p>
    <w:p>
      <w:pPr>
        <w:spacing w:line="360" w:lineRule="auto"/>
        <w:rPr>
          <w:sz w:val="24"/>
          <w:szCs w:val="24"/>
        </w:rPr>
      </w:pPr>
      <w:r>
        <w:rPr>
          <w:rFonts w:hint="eastAsia"/>
          <w:sz w:val="24"/>
          <w:szCs w:val="24"/>
        </w:rPr>
        <w:t>（</w:t>
      </w:r>
      <w:r>
        <w:rPr>
          <w:sz w:val="24"/>
          <w:szCs w:val="24"/>
        </w:rPr>
        <w:t>2</w:t>
      </w:r>
      <w:r>
        <w:rPr>
          <w:rFonts w:hint="eastAsia"/>
          <w:sz w:val="24"/>
          <w:szCs w:val="24"/>
        </w:rPr>
        <w:t>）项目主管部门或者行政监督部门的人员；</w:t>
      </w:r>
    </w:p>
    <w:p>
      <w:pPr>
        <w:spacing w:line="360" w:lineRule="auto"/>
        <w:rPr>
          <w:sz w:val="24"/>
          <w:szCs w:val="24"/>
        </w:rPr>
      </w:pPr>
      <w:r>
        <w:rPr>
          <w:rFonts w:hint="eastAsia"/>
          <w:sz w:val="24"/>
          <w:szCs w:val="24"/>
        </w:rPr>
        <w:t>（</w:t>
      </w:r>
      <w:r>
        <w:rPr>
          <w:sz w:val="24"/>
          <w:szCs w:val="24"/>
        </w:rPr>
        <w:t>3</w:t>
      </w:r>
      <w:r>
        <w:rPr>
          <w:rFonts w:hint="eastAsia"/>
          <w:sz w:val="24"/>
          <w:szCs w:val="24"/>
        </w:rPr>
        <w:t>）与供应商有经济利益关系，可能影响对响应公正评审的；</w:t>
      </w:r>
    </w:p>
    <w:p>
      <w:pPr>
        <w:spacing w:line="360" w:lineRule="auto"/>
        <w:rPr>
          <w:sz w:val="24"/>
          <w:szCs w:val="24"/>
        </w:rPr>
      </w:pPr>
      <w:r>
        <w:rPr>
          <w:rFonts w:hint="eastAsia"/>
          <w:sz w:val="24"/>
          <w:szCs w:val="24"/>
        </w:rPr>
        <w:t>（</w:t>
      </w:r>
      <w:r>
        <w:rPr>
          <w:sz w:val="24"/>
          <w:szCs w:val="24"/>
        </w:rPr>
        <w:t>4</w:t>
      </w:r>
      <w:r>
        <w:rPr>
          <w:rFonts w:hint="eastAsia"/>
          <w:sz w:val="24"/>
          <w:szCs w:val="24"/>
        </w:rPr>
        <w:t>）曾因在招标、评标以及其他与招标投标有关活动中从事违法行为而受过行政处罚或刑事处罚的。</w:t>
      </w:r>
    </w:p>
    <w:p>
      <w:pPr>
        <w:spacing w:line="360" w:lineRule="auto"/>
        <w:rPr>
          <w:sz w:val="24"/>
          <w:szCs w:val="24"/>
        </w:rPr>
      </w:pPr>
      <w:bookmarkStart w:id="179" w:name="_Toc144974532"/>
      <w:bookmarkStart w:id="180" w:name="_Toc179632582"/>
      <w:bookmarkStart w:id="181" w:name="_Toc1285"/>
      <w:bookmarkStart w:id="182" w:name="_Toc152045564"/>
      <w:bookmarkStart w:id="183" w:name="_Toc152042340"/>
      <w:r>
        <w:rPr>
          <w:b/>
          <w:bCs/>
          <w:sz w:val="24"/>
          <w:szCs w:val="24"/>
        </w:rPr>
        <w:t xml:space="preserve">6.2 </w:t>
      </w:r>
      <w:r>
        <w:rPr>
          <w:rFonts w:hint="eastAsia"/>
          <w:b/>
          <w:bCs/>
          <w:sz w:val="24"/>
          <w:szCs w:val="24"/>
        </w:rPr>
        <w:t>评审原则</w:t>
      </w:r>
      <w:bookmarkEnd w:id="179"/>
      <w:bookmarkEnd w:id="180"/>
      <w:bookmarkEnd w:id="181"/>
      <w:bookmarkEnd w:id="182"/>
      <w:bookmarkEnd w:id="183"/>
      <w:r>
        <w:rPr>
          <w:sz w:val="24"/>
          <w:szCs w:val="24"/>
        </w:rPr>
        <w:tab/>
      </w:r>
    </w:p>
    <w:p>
      <w:pPr>
        <w:spacing w:line="360" w:lineRule="auto"/>
        <w:ind w:firstLine="480" w:firstLineChars="200"/>
        <w:rPr>
          <w:sz w:val="24"/>
          <w:szCs w:val="24"/>
        </w:rPr>
      </w:pPr>
      <w:r>
        <w:rPr>
          <w:rFonts w:hint="eastAsia"/>
          <w:sz w:val="24"/>
          <w:szCs w:val="24"/>
        </w:rPr>
        <w:t>评审活动遵循公平、公正、科学和择优的原则。</w:t>
      </w:r>
    </w:p>
    <w:p>
      <w:pPr>
        <w:spacing w:line="360" w:lineRule="auto"/>
        <w:rPr>
          <w:b/>
          <w:bCs/>
          <w:sz w:val="24"/>
          <w:szCs w:val="24"/>
        </w:rPr>
      </w:pPr>
      <w:bookmarkStart w:id="184" w:name="_Toc144974533"/>
      <w:bookmarkStart w:id="185" w:name="_Toc179632583"/>
      <w:bookmarkStart w:id="186" w:name="_Toc20087"/>
      <w:bookmarkStart w:id="187" w:name="_Toc152042341"/>
      <w:bookmarkStart w:id="188" w:name="_Toc152045565"/>
      <w:r>
        <w:rPr>
          <w:b/>
          <w:bCs/>
          <w:sz w:val="24"/>
          <w:szCs w:val="24"/>
        </w:rPr>
        <w:t xml:space="preserve">6.3 </w:t>
      </w:r>
      <w:r>
        <w:rPr>
          <w:rFonts w:hint="eastAsia"/>
          <w:b/>
          <w:bCs/>
          <w:sz w:val="24"/>
          <w:szCs w:val="24"/>
        </w:rPr>
        <w:t>评</w:t>
      </w:r>
      <w:bookmarkEnd w:id="184"/>
      <w:bookmarkEnd w:id="185"/>
      <w:bookmarkEnd w:id="186"/>
      <w:bookmarkEnd w:id="187"/>
      <w:bookmarkEnd w:id="188"/>
      <w:r>
        <w:rPr>
          <w:rFonts w:hint="eastAsia"/>
          <w:b/>
          <w:bCs/>
          <w:sz w:val="24"/>
          <w:szCs w:val="24"/>
        </w:rPr>
        <w:t>审方法</w:t>
      </w:r>
    </w:p>
    <w:p>
      <w:pPr>
        <w:spacing w:line="360" w:lineRule="auto"/>
        <w:ind w:firstLine="480" w:firstLineChars="200"/>
        <w:rPr>
          <w:sz w:val="24"/>
          <w:szCs w:val="24"/>
        </w:rPr>
      </w:pPr>
      <w:r>
        <w:rPr>
          <w:rFonts w:hint="eastAsia"/>
          <w:sz w:val="24"/>
          <w:szCs w:val="24"/>
        </w:rPr>
        <w:t>谈判小组按照第三章“评审办法”规定的方法、评审因素、标准和程序对响应文件进行评审。第三章“评审办法”没有规定的方法、评审因素和标准，不作为评标依据。</w:t>
      </w:r>
    </w:p>
    <w:p>
      <w:pPr>
        <w:spacing w:line="360" w:lineRule="auto"/>
        <w:rPr>
          <w:b/>
          <w:bCs/>
          <w:sz w:val="24"/>
          <w:szCs w:val="24"/>
        </w:rPr>
      </w:pPr>
      <w:bookmarkStart w:id="189" w:name="_Toc179632584"/>
      <w:bookmarkStart w:id="190" w:name="_Toc144974534"/>
      <w:bookmarkStart w:id="191" w:name="_Toc18941"/>
      <w:bookmarkStart w:id="192" w:name="_Toc30005"/>
      <w:bookmarkStart w:id="193" w:name="_Toc24323"/>
      <w:bookmarkStart w:id="194" w:name="_Toc152042342"/>
      <w:bookmarkStart w:id="195" w:name="_Toc152045566"/>
      <w:r>
        <w:rPr>
          <w:b/>
          <w:bCs/>
          <w:sz w:val="24"/>
          <w:szCs w:val="24"/>
        </w:rPr>
        <w:t xml:space="preserve">7. </w:t>
      </w:r>
      <w:r>
        <w:rPr>
          <w:rFonts w:hint="eastAsia"/>
          <w:b/>
          <w:bCs/>
          <w:sz w:val="24"/>
          <w:szCs w:val="24"/>
        </w:rPr>
        <w:t>合同授予</w:t>
      </w:r>
      <w:bookmarkEnd w:id="189"/>
      <w:bookmarkEnd w:id="190"/>
      <w:bookmarkEnd w:id="191"/>
      <w:bookmarkEnd w:id="192"/>
      <w:bookmarkEnd w:id="193"/>
      <w:bookmarkEnd w:id="194"/>
      <w:bookmarkEnd w:id="195"/>
    </w:p>
    <w:p>
      <w:pPr>
        <w:spacing w:line="360" w:lineRule="auto"/>
        <w:rPr>
          <w:b/>
          <w:bCs/>
          <w:sz w:val="24"/>
          <w:szCs w:val="24"/>
        </w:rPr>
      </w:pPr>
      <w:bookmarkStart w:id="196" w:name="_Toc144974535"/>
      <w:bookmarkStart w:id="197" w:name="_Toc152045567"/>
      <w:bookmarkStart w:id="198" w:name="_Toc179632585"/>
      <w:bookmarkStart w:id="199" w:name="_Toc293"/>
      <w:bookmarkStart w:id="200" w:name="_Toc152042343"/>
      <w:r>
        <w:rPr>
          <w:b/>
          <w:bCs/>
          <w:sz w:val="24"/>
          <w:szCs w:val="24"/>
        </w:rPr>
        <w:t xml:space="preserve">7.1 </w:t>
      </w:r>
      <w:r>
        <w:rPr>
          <w:rFonts w:hint="eastAsia"/>
          <w:b/>
          <w:bCs/>
          <w:sz w:val="24"/>
          <w:szCs w:val="24"/>
        </w:rPr>
        <w:t>成交方式</w:t>
      </w:r>
      <w:bookmarkEnd w:id="196"/>
      <w:bookmarkEnd w:id="197"/>
      <w:bookmarkEnd w:id="198"/>
      <w:bookmarkEnd w:id="199"/>
      <w:bookmarkEnd w:id="200"/>
    </w:p>
    <w:p>
      <w:pPr>
        <w:spacing w:line="360" w:lineRule="auto"/>
        <w:ind w:firstLine="480" w:firstLineChars="200"/>
        <w:rPr>
          <w:sz w:val="24"/>
          <w:szCs w:val="24"/>
        </w:rPr>
      </w:pPr>
      <w:bookmarkStart w:id="201" w:name="_Toc179632586"/>
      <w:bookmarkStart w:id="202" w:name="_Toc152045568"/>
      <w:bookmarkStart w:id="203" w:name="_Toc152042344"/>
      <w:bookmarkStart w:id="204" w:name="_Toc144974536"/>
      <w:r>
        <w:rPr>
          <w:rFonts w:hint="eastAsia"/>
          <w:sz w:val="24"/>
          <w:szCs w:val="24"/>
        </w:rPr>
        <w:t>除供应商须知前附表规定谈判小组直接确定成交人外，采购人依据谈判小组推荐的成交候选人确定成交人，原则上第一成交候选人即为最终成交人，第一成交候选人放弃成交、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w:t>
      </w:r>
      <w:r>
        <w:rPr>
          <w:sz w:val="24"/>
          <w:szCs w:val="24"/>
        </w:rPr>
        <w:t>,</w:t>
      </w:r>
      <w:r>
        <w:rPr>
          <w:rFonts w:hint="eastAsia"/>
          <w:sz w:val="24"/>
          <w:szCs w:val="24"/>
        </w:rPr>
        <w:t>也可以重新采购。</w:t>
      </w:r>
    </w:p>
    <w:p>
      <w:pPr>
        <w:spacing w:line="360" w:lineRule="auto"/>
        <w:rPr>
          <w:b/>
          <w:bCs/>
          <w:sz w:val="24"/>
          <w:szCs w:val="24"/>
        </w:rPr>
      </w:pPr>
      <w:bookmarkStart w:id="205" w:name="_Toc4129"/>
      <w:r>
        <w:rPr>
          <w:b/>
          <w:bCs/>
          <w:sz w:val="24"/>
          <w:szCs w:val="24"/>
        </w:rPr>
        <w:t>7.2</w:t>
      </w:r>
      <w:r>
        <w:rPr>
          <w:rFonts w:hint="eastAsia"/>
          <w:b/>
          <w:bCs/>
          <w:sz w:val="24"/>
          <w:szCs w:val="24"/>
        </w:rPr>
        <w:t>成交候选人公告、成交通知</w:t>
      </w:r>
      <w:bookmarkEnd w:id="201"/>
      <w:bookmarkEnd w:id="202"/>
      <w:bookmarkEnd w:id="203"/>
      <w:bookmarkEnd w:id="204"/>
      <w:bookmarkEnd w:id="205"/>
    </w:p>
    <w:p>
      <w:pPr>
        <w:spacing w:line="360" w:lineRule="auto"/>
        <w:rPr>
          <w:sz w:val="24"/>
          <w:szCs w:val="24"/>
        </w:rPr>
      </w:pPr>
      <w:r>
        <w:rPr>
          <w:sz w:val="24"/>
          <w:szCs w:val="24"/>
        </w:rPr>
        <w:t xml:space="preserve">7.2.1 </w:t>
      </w:r>
      <w:r>
        <w:rPr>
          <w:rFonts w:hint="eastAsia"/>
          <w:sz w:val="24"/>
          <w:szCs w:val="24"/>
        </w:rPr>
        <w:t>采购人在供应商须知前附表规定的媒介进行成交人公告。</w:t>
      </w:r>
    </w:p>
    <w:p>
      <w:pPr>
        <w:spacing w:line="360" w:lineRule="auto"/>
        <w:rPr>
          <w:b/>
          <w:bCs/>
          <w:sz w:val="24"/>
          <w:szCs w:val="24"/>
        </w:rPr>
      </w:pPr>
      <w:r>
        <w:rPr>
          <w:b/>
          <w:bCs/>
          <w:sz w:val="24"/>
          <w:szCs w:val="24"/>
        </w:rPr>
        <w:t xml:space="preserve">7.3 </w:t>
      </w:r>
      <w:r>
        <w:rPr>
          <w:rFonts w:hint="eastAsia"/>
          <w:b/>
          <w:bCs/>
          <w:sz w:val="24"/>
          <w:szCs w:val="24"/>
        </w:rPr>
        <w:t>履约担保</w:t>
      </w:r>
    </w:p>
    <w:p>
      <w:pPr>
        <w:spacing w:line="360" w:lineRule="auto"/>
        <w:rPr>
          <w:sz w:val="24"/>
          <w:szCs w:val="24"/>
        </w:rPr>
      </w:pPr>
      <w:r>
        <w:rPr>
          <w:sz w:val="24"/>
          <w:szCs w:val="24"/>
        </w:rPr>
        <w:t>7.3.1</w:t>
      </w:r>
      <w:r>
        <w:rPr>
          <w:rFonts w:hint="eastAsia"/>
          <w:sz w:val="24"/>
          <w:szCs w:val="24"/>
        </w:rPr>
        <w:t>在签订合同前，成交人应按供应商须知前附表规定的担保形式和竞争性谈判文件第四章“合同条款及格式”规定的或者事先经过采购人书面认可的担保格式向采购人提交。联合体成交的，其担保由牵头人递交，并应符合供应商须知前附表规定的金额、担保形式和竞争性谈判文件第四章“合同条款及格式”规定的担保格式要求。</w:t>
      </w:r>
    </w:p>
    <w:p>
      <w:pPr>
        <w:spacing w:line="360" w:lineRule="auto"/>
        <w:rPr>
          <w:b/>
          <w:bCs/>
          <w:sz w:val="24"/>
          <w:szCs w:val="24"/>
        </w:rPr>
      </w:pPr>
      <w:bookmarkStart w:id="206" w:name="_Toc28916"/>
      <w:bookmarkStart w:id="207" w:name="_Toc152045570"/>
      <w:bookmarkStart w:id="208" w:name="_Toc144974538"/>
      <w:bookmarkStart w:id="209" w:name="_Toc179632588"/>
      <w:bookmarkStart w:id="210" w:name="_Toc152042346"/>
      <w:r>
        <w:rPr>
          <w:b/>
          <w:bCs/>
          <w:sz w:val="24"/>
          <w:szCs w:val="24"/>
        </w:rPr>
        <w:t xml:space="preserve">7.4 </w:t>
      </w:r>
      <w:r>
        <w:rPr>
          <w:rFonts w:hint="eastAsia"/>
          <w:b/>
          <w:bCs/>
          <w:sz w:val="24"/>
          <w:szCs w:val="24"/>
        </w:rPr>
        <w:t>签订合同</w:t>
      </w:r>
      <w:bookmarkEnd w:id="206"/>
      <w:bookmarkEnd w:id="207"/>
      <w:bookmarkEnd w:id="208"/>
      <w:bookmarkEnd w:id="209"/>
      <w:bookmarkEnd w:id="210"/>
    </w:p>
    <w:p>
      <w:pPr>
        <w:spacing w:line="360" w:lineRule="auto"/>
        <w:rPr>
          <w:sz w:val="24"/>
          <w:szCs w:val="24"/>
        </w:rPr>
      </w:pPr>
      <w:r>
        <w:rPr>
          <w:sz w:val="24"/>
          <w:szCs w:val="24"/>
        </w:rPr>
        <w:t>7.4.1</w:t>
      </w:r>
      <w:r>
        <w:rPr>
          <w:rFonts w:hint="eastAsia"/>
          <w:sz w:val="24"/>
          <w:szCs w:val="24"/>
        </w:rPr>
        <w:t>采购人和成交人应当自成交通知书发出之日起7天内，严格按照竞争性谈判文件和成交人的响应文件订立书面合同。成交人无正当理由拒签合同的，采购人取消其成交资格，其响应谈判保证金不予退还；给采购人造成的损失超过谈判保证金数额的，成交人还应当对超过部分予以赔偿。</w:t>
      </w:r>
    </w:p>
    <w:p>
      <w:pPr>
        <w:spacing w:line="360" w:lineRule="auto"/>
        <w:rPr>
          <w:sz w:val="24"/>
          <w:szCs w:val="24"/>
        </w:rPr>
      </w:pPr>
      <w:r>
        <w:rPr>
          <w:sz w:val="24"/>
          <w:szCs w:val="24"/>
        </w:rPr>
        <w:t xml:space="preserve">7.4.2 </w:t>
      </w:r>
      <w:r>
        <w:rPr>
          <w:rFonts w:hint="eastAsia"/>
          <w:sz w:val="24"/>
          <w:szCs w:val="24"/>
        </w:rPr>
        <w:t>发出成交通知书后，采购人无正当理由拒签合同的，采购人向成交人退还谈判保证金；给成交人造成损失的，还应当赔偿损失。</w:t>
      </w:r>
    </w:p>
    <w:p>
      <w:pPr>
        <w:spacing w:line="360" w:lineRule="auto"/>
        <w:rPr>
          <w:sz w:val="24"/>
          <w:szCs w:val="24"/>
        </w:rPr>
      </w:pPr>
      <w:r>
        <w:rPr>
          <w:sz w:val="24"/>
          <w:szCs w:val="24"/>
        </w:rPr>
        <w:t>7.4.3</w:t>
      </w:r>
      <w:r>
        <w:rPr>
          <w:rFonts w:hint="eastAsia"/>
          <w:sz w:val="24"/>
          <w:szCs w:val="24"/>
        </w:rPr>
        <w:t>书面合同签订后</w:t>
      </w:r>
      <w:r>
        <w:rPr>
          <w:sz w:val="24"/>
          <w:szCs w:val="24"/>
        </w:rPr>
        <w:t>7</w:t>
      </w:r>
      <w:r>
        <w:rPr>
          <w:rFonts w:hint="eastAsia"/>
          <w:sz w:val="24"/>
          <w:szCs w:val="24"/>
        </w:rPr>
        <w:t>个工作日内进行合同备案。</w:t>
      </w:r>
    </w:p>
    <w:p>
      <w:pPr>
        <w:spacing w:line="360" w:lineRule="auto"/>
        <w:rPr>
          <w:b/>
          <w:bCs/>
          <w:sz w:val="24"/>
          <w:szCs w:val="24"/>
        </w:rPr>
      </w:pPr>
      <w:bookmarkStart w:id="211" w:name="_Toc144974542"/>
      <w:bookmarkStart w:id="212" w:name="_Toc29170"/>
      <w:bookmarkStart w:id="213" w:name="_Toc152045574"/>
      <w:bookmarkStart w:id="214" w:name="_Toc152042350"/>
      <w:bookmarkStart w:id="215" w:name="_Toc4890"/>
      <w:bookmarkStart w:id="216" w:name="_Toc13946"/>
      <w:bookmarkStart w:id="217" w:name="_Toc179632592"/>
      <w:r>
        <w:rPr>
          <w:rFonts w:hint="eastAsia"/>
          <w:b/>
          <w:bCs/>
          <w:sz w:val="24"/>
          <w:szCs w:val="24"/>
        </w:rPr>
        <w:t>8</w:t>
      </w:r>
      <w:r>
        <w:rPr>
          <w:b/>
          <w:bCs/>
          <w:sz w:val="24"/>
          <w:szCs w:val="24"/>
        </w:rPr>
        <w:t xml:space="preserve">. </w:t>
      </w:r>
      <w:r>
        <w:rPr>
          <w:rFonts w:hint="eastAsia"/>
          <w:b/>
          <w:bCs/>
          <w:sz w:val="24"/>
          <w:szCs w:val="24"/>
        </w:rPr>
        <w:t>纪律和监督</w:t>
      </w:r>
      <w:bookmarkEnd w:id="211"/>
      <w:bookmarkEnd w:id="212"/>
      <w:bookmarkEnd w:id="213"/>
      <w:bookmarkEnd w:id="214"/>
      <w:bookmarkEnd w:id="215"/>
      <w:bookmarkEnd w:id="216"/>
      <w:bookmarkEnd w:id="217"/>
    </w:p>
    <w:p>
      <w:pPr>
        <w:spacing w:line="360" w:lineRule="auto"/>
        <w:rPr>
          <w:b/>
          <w:bCs/>
          <w:sz w:val="24"/>
          <w:szCs w:val="24"/>
        </w:rPr>
      </w:pPr>
      <w:bookmarkStart w:id="218" w:name="_Toc179632593"/>
      <w:bookmarkStart w:id="219" w:name="_Toc28359"/>
      <w:bookmarkStart w:id="220" w:name="_Toc152042351"/>
      <w:bookmarkStart w:id="221" w:name="_Toc144974543"/>
      <w:bookmarkStart w:id="222" w:name="_Toc152045575"/>
      <w:r>
        <w:rPr>
          <w:rFonts w:hint="eastAsia"/>
          <w:b/>
          <w:bCs/>
          <w:sz w:val="24"/>
          <w:szCs w:val="24"/>
        </w:rPr>
        <w:t>8</w:t>
      </w:r>
      <w:r>
        <w:rPr>
          <w:b/>
          <w:bCs/>
          <w:sz w:val="24"/>
          <w:szCs w:val="24"/>
        </w:rPr>
        <w:t xml:space="preserve">.1 </w:t>
      </w:r>
      <w:r>
        <w:rPr>
          <w:rFonts w:hint="eastAsia"/>
          <w:b/>
          <w:bCs/>
          <w:sz w:val="24"/>
          <w:szCs w:val="24"/>
        </w:rPr>
        <w:t>对采购人的纪律要求</w:t>
      </w:r>
      <w:bookmarkEnd w:id="218"/>
      <w:bookmarkEnd w:id="219"/>
      <w:bookmarkEnd w:id="220"/>
      <w:bookmarkEnd w:id="221"/>
      <w:bookmarkEnd w:id="222"/>
    </w:p>
    <w:p>
      <w:pPr>
        <w:spacing w:line="360" w:lineRule="auto"/>
        <w:ind w:firstLine="480" w:firstLineChars="200"/>
        <w:rPr>
          <w:sz w:val="24"/>
          <w:szCs w:val="24"/>
        </w:rPr>
      </w:pPr>
      <w:r>
        <w:rPr>
          <w:rFonts w:hint="eastAsia"/>
          <w:sz w:val="24"/>
          <w:szCs w:val="24"/>
        </w:rPr>
        <w:t>采购人不得泄漏采购响应活动中应当保密的情况和资料，不得与供应商串通损害国家利益、社会公共利益或者他人合法权益。</w:t>
      </w:r>
    </w:p>
    <w:p>
      <w:pPr>
        <w:spacing w:line="360" w:lineRule="auto"/>
        <w:rPr>
          <w:b/>
          <w:bCs/>
          <w:sz w:val="24"/>
          <w:szCs w:val="24"/>
        </w:rPr>
      </w:pPr>
      <w:bookmarkStart w:id="223" w:name="_Toc152042352"/>
      <w:bookmarkStart w:id="224" w:name="_Toc23478"/>
      <w:bookmarkStart w:id="225" w:name="_Toc144974544"/>
      <w:bookmarkStart w:id="226" w:name="_Toc179632594"/>
      <w:bookmarkStart w:id="227" w:name="_Toc152045576"/>
      <w:r>
        <w:rPr>
          <w:rFonts w:hint="eastAsia"/>
          <w:b/>
          <w:bCs/>
          <w:sz w:val="24"/>
          <w:szCs w:val="24"/>
        </w:rPr>
        <w:t>8</w:t>
      </w:r>
      <w:r>
        <w:rPr>
          <w:b/>
          <w:bCs/>
          <w:sz w:val="24"/>
          <w:szCs w:val="24"/>
        </w:rPr>
        <w:t xml:space="preserve">.2 </w:t>
      </w:r>
      <w:r>
        <w:rPr>
          <w:rFonts w:hint="eastAsia"/>
          <w:b/>
          <w:bCs/>
          <w:sz w:val="24"/>
          <w:szCs w:val="24"/>
        </w:rPr>
        <w:t>对供应商的纪律要求</w:t>
      </w:r>
      <w:bookmarkEnd w:id="223"/>
      <w:bookmarkEnd w:id="224"/>
      <w:bookmarkEnd w:id="225"/>
      <w:bookmarkEnd w:id="226"/>
      <w:bookmarkEnd w:id="227"/>
    </w:p>
    <w:p>
      <w:pPr>
        <w:spacing w:line="360" w:lineRule="auto"/>
        <w:ind w:firstLine="480" w:firstLineChars="200"/>
        <w:rPr>
          <w:sz w:val="24"/>
          <w:szCs w:val="24"/>
        </w:rPr>
      </w:pPr>
      <w:bookmarkStart w:id="228" w:name="_Toc152042353"/>
      <w:bookmarkStart w:id="229" w:name="_Toc144974545"/>
      <w:bookmarkStart w:id="230" w:name="_Toc152045577"/>
      <w:bookmarkStart w:id="231" w:name="_Toc179632595"/>
      <w:r>
        <w:rPr>
          <w:rFonts w:hint="eastAsia"/>
          <w:sz w:val="24"/>
          <w:szCs w:val="24"/>
        </w:rPr>
        <w:t>供应商不得相互串通响应或者与采购人串通响应，不得向采购人或者谈判小组成员行贿谋取成交，不得以他人名义响应或者以其他方式弄虚作假骗取成交；供应商不得以任何方式干扰、影响评标工作。如供应商存在围标、串标、以他人名义响应、弄虚作假、恶意投诉、虚假投诉等行为的、经查证属实的，其提交的谈判保证金不予退还，并记入诚信档案，一定期限内不得参与阜阳市政府采购活动。</w:t>
      </w:r>
    </w:p>
    <w:p>
      <w:pPr>
        <w:spacing w:line="360" w:lineRule="auto"/>
        <w:rPr>
          <w:b/>
          <w:bCs/>
          <w:sz w:val="24"/>
          <w:szCs w:val="24"/>
        </w:rPr>
      </w:pPr>
      <w:bookmarkStart w:id="232" w:name="_Toc31283"/>
      <w:r>
        <w:rPr>
          <w:rFonts w:hint="eastAsia"/>
          <w:b/>
          <w:bCs/>
          <w:sz w:val="24"/>
          <w:szCs w:val="24"/>
        </w:rPr>
        <w:t>8</w:t>
      </w:r>
      <w:r>
        <w:rPr>
          <w:b/>
          <w:bCs/>
          <w:sz w:val="24"/>
          <w:szCs w:val="24"/>
        </w:rPr>
        <w:t xml:space="preserve">.3 </w:t>
      </w:r>
      <w:r>
        <w:rPr>
          <w:rFonts w:hint="eastAsia"/>
          <w:b/>
          <w:bCs/>
          <w:sz w:val="24"/>
          <w:szCs w:val="24"/>
        </w:rPr>
        <w:t>对谈判小组成员的纪律要求</w:t>
      </w:r>
      <w:bookmarkEnd w:id="228"/>
      <w:bookmarkEnd w:id="229"/>
      <w:bookmarkEnd w:id="230"/>
      <w:bookmarkEnd w:id="231"/>
      <w:bookmarkEnd w:id="232"/>
    </w:p>
    <w:p>
      <w:pPr>
        <w:spacing w:line="360" w:lineRule="auto"/>
        <w:ind w:firstLine="480" w:firstLineChars="200"/>
        <w:rPr>
          <w:sz w:val="24"/>
          <w:szCs w:val="24"/>
        </w:rPr>
      </w:pPr>
      <w:r>
        <w:rPr>
          <w:rFonts w:hint="eastAsia"/>
          <w:sz w:val="24"/>
          <w:szCs w:val="24"/>
        </w:rPr>
        <w:t>谈判小组成员不得收受他人的财物或者其他好处，不得向他人透漏对响应文件的评审和比较、成交候选人的推荐情况以及评标有关的其他情况。在评标活动中，谈判小组成员不得擅离职守，影响评标程序正常进行，不得使用第三章“评审办法”没有规定的评审因素和标准进行评标。</w:t>
      </w:r>
    </w:p>
    <w:p>
      <w:pPr>
        <w:spacing w:line="360" w:lineRule="auto"/>
        <w:rPr>
          <w:b/>
          <w:bCs/>
          <w:sz w:val="24"/>
          <w:szCs w:val="24"/>
        </w:rPr>
      </w:pPr>
      <w:bookmarkStart w:id="233" w:name="_Toc179632596"/>
      <w:bookmarkStart w:id="234" w:name="_Toc32591"/>
      <w:bookmarkStart w:id="235" w:name="_Toc152045578"/>
      <w:bookmarkStart w:id="236" w:name="_Toc152042354"/>
      <w:bookmarkStart w:id="237" w:name="_Toc144974546"/>
      <w:r>
        <w:rPr>
          <w:rFonts w:hint="eastAsia"/>
          <w:b/>
          <w:bCs/>
          <w:sz w:val="24"/>
          <w:szCs w:val="24"/>
        </w:rPr>
        <w:t>8</w:t>
      </w:r>
      <w:r>
        <w:rPr>
          <w:b/>
          <w:bCs/>
          <w:sz w:val="24"/>
          <w:szCs w:val="24"/>
        </w:rPr>
        <w:t xml:space="preserve">.4 </w:t>
      </w:r>
      <w:r>
        <w:rPr>
          <w:rFonts w:hint="eastAsia"/>
          <w:b/>
          <w:bCs/>
          <w:sz w:val="24"/>
          <w:szCs w:val="24"/>
        </w:rPr>
        <w:t>对与评标活动有关的工作人员的纪律要求</w:t>
      </w:r>
      <w:bookmarkEnd w:id="233"/>
      <w:bookmarkEnd w:id="234"/>
      <w:bookmarkEnd w:id="235"/>
      <w:bookmarkEnd w:id="236"/>
    </w:p>
    <w:p>
      <w:pPr>
        <w:spacing w:line="360" w:lineRule="auto"/>
        <w:ind w:firstLine="480" w:firstLineChars="200"/>
        <w:rPr>
          <w:sz w:val="24"/>
          <w:szCs w:val="24"/>
        </w:rPr>
      </w:pPr>
      <w:bookmarkStart w:id="238" w:name="_Toc152042355"/>
      <w:r>
        <w:rPr>
          <w:rFonts w:hint="eastAsia"/>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238"/>
    </w:p>
    <w:bookmarkEnd w:id="237"/>
    <w:p>
      <w:pPr>
        <w:spacing w:line="360" w:lineRule="auto"/>
        <w:rPr>
          <w:b/>
          <w:bCs/>
          <w:sz w:val="24"/>
          <w:szCs w:val="24"/>
        </w:rPr>
      </w:pPr>
      <w:bookmarkStart w:id="239" w:name="_Toc4385"/>
      <w:bookmarkStart w:id="240" w:name="_Toc152042357"/>
      <w:bookmarkStart w:id="241" w:name="_Toc152045580"/>
      <w:bookmarkStart w:id="242" w:name="_Toc144974547"/>
      <w:bookmarkStart w:id="243" w:name="_Toc179632598"/>
      <w:r>
        <w:rPr>
          <w:rFonts w:hint="eastAsia"/>
          <w:b/>
          <w:bCs/>
          <w:sz w:val="24"/>
          <w:szCs w:val="24"/>
        </w:rPr>
        <w:t>9</w:t>
      </w:r>
      <w:r>
        <w:rPr>
          <w:b/>
          <w:bCs/>
          <w:sz w:val="24"/>
          <w:szCs w:val="24"/>
        </w:rPr>
        <w:t xml:space="preserve">. </w:t>
      </w:r>
      <w:r>
        <w:rPr>
          <w:rFonts w:hint="eastAsia"/>
          <w:b/>
          <w:bCs/>
          <w:sz w:val="24"/>
          <w:szCs w:val="24"/>
        </w:rPr>
        <w:t>需要补充的其他内容</w:t>
      </w:r>
      <w:bookmarkEnd w:id="239"/>
      <w:bookmarkEnd w:id="240"/>
      <w:bookmarkEnd w:id="241"/>
      <w:bookmarkEnd w:id="242"/>
      <w:bookmarkEnd w:id="243"/>
    </w:p>
    <w:p>
      <w:pPr>
        <w:spacing w:line="360" w:lineRule="auto"/>
        <w:ind w:firstLine="480" w:firstLineChars="200"/>
        <w:rPr>
          <w:sz w:val="24"/>
          <w:szCs w:val="24"/>
        </w:rPr>
      </w:pPr>
      <w:r>
        <w:rPr>
          <w:rFonts w:hint="eastAsia"/>
          <w:sz w:val="24"/>
          <w:szCs w:val="24"/>
        </w:rPr>
        <w:t>需要补充的其他内容：见供应商须知前附表。</w:t>
      </w:r>
    </w:p>
    <w:p>
      <w:pPr>
        <w:spacing w:line="360" w:lineRule="auto"/>
        <w:rPr>
          <w:b/>
          <w:bCs/>
          <w:sz w:val="24"/>
          <w:szCs w:val="24"/>
        </w:rPr>
      </w:pPr>
      <w:r>
        <w:rPr>
          <w:rFonts w:hint="eastAsia"/>
          <w:b/>
          <w:bCs/>
          <w:sz w:val="24"/>
          <w:szCs w:val="24"/>
        </w:rPr>
        <w:t>10.本竞争性谈判文件解释权</w:t>
      </w:r>
    </w:p>
    <w:p>
      <w:pPr>
        <w:spacing w:line="360" w:lineRule="auto"/>
        <w:ind w:firstLine="480" w:firstLineChars="200"/>
        <w:rPr>
          <w:rFonts w:hint="eastAsia"/>
          <w:sz w:val="24"/>
          <w:szCs w:val="24"/>
        </w:rPr>
      </w:pPr>
      <w:r>
        <w:rPr>
          <w:rFonts w:hint="eastAsia"/>
          <w:sz w:val="24"/>
          <w:szCs w:val="24"/>
        </w:rPr>
        <w:t>本竞争性谈判文件解释权归采购人所有。</w:t>
      </w:r>
    </w:p>
    <w:p>
      <w:pPr>
        <w:pStyle w:val="15"/>
        <w:rPr>
          <w:rFonts w:hint="eastAsia"/>
          <w:sz w:val="24"/>
          <w:szCs w:val="24"/>
        </w:rPr>
      </w:pPr>
    </w:p>
    <w:p>
      <w:pPr>
        <w:pStyle w:val="15"/>
        <w:rPr>
          <w:rFonts w:hint="eastAsia"/>
          <w:sz w:val="24"/>
          <w:szCs w:val="24"/>
        </w:rPr>
      </w:pPr>
    </w:p>
    <w:p>
      <w:pPr>
        <w:pStyle w:val="15"/>
        <w:rPr>
          <w:rFonts w:hint="eastAsia"/>
          <w:sz w:val="24"/>
          <w:szCs w:val="24"/>
        </w:rPr>
      </w:pPr>
    </w:p>
    <w:p>
      <w:pPr>
        <w:pStyle w:val="15"/>
        <w:ind w:left="0" w:leftChars="0" w:firstLine="0" w:firstLineChars="0"/>
        <w:rPr>
          <w:rFonts w:hint="eastAsia"/>
        </w:rPr>
      </w:pPr>
      <w:bookmarkStart w:id="244" w:name="_Toc465933788"/>
      <w:bookmarkStart w:id="245" w:name="_Toc20798"/>
    </w:p>
    <w:p>
      <w:pPr>
        <w:pStyle w:val="2"/>
        <w:numPr>
          <w:ilvl w:val="0"/>
          <w:numId w:val="2"/>
        </w:numPr>
        <w:spacing w:before="0" w:after="0" w:line="240" w:lineRule="auto"/>
        <w:ind w:left="0" w:leftChars="0" w:firstLine="0" w:firstLineChars="0"/>
        <w:jc w:val="center"/>
        <w:rPr>
          <w:rFonts w:hint="eastAsia"/>
          <w:sz w:val="36"/>
          <w:szCs w:val="18"/>
        </w:rPr>
      </w:pPr>
      <w:r>
        <w:rPr>
          <w:rFonts w:hint="eastAsia"/>
          <w:sz w:val="36"/>
          <w:szCs w:val="18"/>
        </w:rPr>
        <w:t>评审办法</w:t>
      </w:r>
      <w:bookmarkEnd w:id="244"/>
      <w:bookmarkEnd w:id="245"/>
    </w:p>
    <w:p>
      <w:pPr>
        <w:numPr>
          <w:ilvl w:val="0"/>
          <w:numId w:val="0"/>
        </w:numPr>
        <w:ind w:leftChars="0"/>
      </w:pPr>
    </w:p>
    <w:tbl>
      <w:tblPr>
        <w:tblStyle w:val="16"/>
        <w:tblW w:w="90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033" w:type="dxa"/>
            <w:vAlign w:val="center"/>
          </w:tcPr>
          <w:p>
            <w:pPr>
              <w:jc w:val="center"/>
              <w:rPr>
                <w:rFonts w:hint="eastAsia" w:ascii="宋体" w:hAnsi="宋体" w:cs="宋体"/>
                <w:b/>
                <w:bCs/>
                <w:sz w:val="24"/>
              </w:rPr>
            </w:pPr>
            <w:r>
              <w:rPr>
                <w:rFonts w:hint="eastAsia"/>
                <w:b/>
                <w:sz w:val="24"/>
              </w:rPr>
              <w:t>谈判小组否决其响应的条款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9033" w:type="dxa"/>
            <w:vAlign w:val="top"/>
          </w:tcPr>
          <w:p>
            <w:pPr>
              <w:shd w:val="clear" w:color="auto" w:fill="FFFFFF"/>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供应商有以下情形之一的，初步评审后其投标作废标处理：</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(1）串通投标或弄虚作假或有其他违法行为的。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串通投标行为是指：</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（a）不同供应商的响应文件内容存在非正常一致的；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（b）不同供应商的响应报价或报价组成异常一致或呈规律性变化的；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（c）不同供应商委托同一人投标或与同一人联合响应的；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（d）不同供应商的响应文件载明的项目管理班子成员出现同一人的；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（e）不同供应商的响应文件相互混装的；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（f）不同供应商使用同一人或企业资金缴纳谈判保证金的；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（g）不同供应商聘请同一人或同一中介机构为其响应提供技术或经济咨询服务的；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（2）凡在阜阳市行政区域内被各级招投标监督部门或行业主管部门处罚，列入不良记录且在处罚期内的。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 xml:space="preserve"> (3）不按评审委员会要求澄清、说明或补正的。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)投标函中响应报价、工期、质量标准、项目经理、技术规格或其它实质性要求不能满足竞争性谈判文件要求,或作出的承诺与竞争性谈判文件中提供的投标函样本中相关内容相抵触或有遗漏的。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5</w:t>
            </w:r>
            <w:r>
              <w:rPr>
                <w:rFonts w:hint="eastAsia" w:ascii="宋体" w:hAnsi="宋体" w:cs="宋体"/>
                <w:bCs/>
                <w:sz w:val="24"/>
                <w:szCs w:val="24"/>
              </w:rPr>
              <w:t>) 未按规定的格式填写，实质性内容不全或关键字迹模糊、无法辨认的。</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6</w:t>
            </w:r>
            <w:r>
              <w:rPr>
                <w:rFonts w:hint="eastAsia" w:ascii="宋体" w:hAnsi="宋体" w:cs="宋体"/>
                <w:bCs/>
                <w:sz w:val="24"/>
                <w:szCs w:val="24"/>
              </w:rPr>
              <w:t>)供应商递交两份或多份内容不同的响应文件，或在一份响应文件中对同一采购项目报有两个或多个报价，且未声明哪一个有效的。按竞争性谈判文件规定提交备选响应方案的除外。</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 响应文件中存在采购人不能接受的其它实质性条件。</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供应商有以下情形之一的，作否决其响应处理：</w:t>
            </w:r>
          </w:p>
          <w:p>
            <w:pPr>
              <w:shd w:val="clear" w:color="auto" w:fill="FFFFFF"/>
              <w:snapToGrid w:val="0"/>
              <w:spacing w:line="360" w:lineRule="auto"/>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1</w:t>
            </w:r>
            <w:r>
              <w:rPr>
                <w:rFonts w:hint="eastAsia" w:ascii="宋体" w:hAnsi="宋体" w:cs="宋体"/>
                <w:bCs/>
                <w:sz w:val="24"/>
                <w:szCs w:val="24"/>
              </w:rPr>
              <w:t>)响应报价等于或高于控制价的。</w:t>
            </w:r>
          </w:p>
          <w:p>
            <w:pPr>
              <w:shd w:val="clear" w:color="auto" w:fill="FFFFFF"/>
              <w:snapToGrid w:val="0"/>
              <w:spacing w:line="360" w:lineRule="auto"/>
              <w:rPr>
                <w:rFonts w:hint="eastAsia" w:ascii="宋体" w:hAnsi="宋体" w:cs="宋体"/>
                <w:bCs/>
              </w:rPr>
            </w:pPr>
            <w:r>
              <w:rPr>
                <w:rFonts w:hint="eastAsia" w:ascii="宋体" w:hAnsi="宋体" w:cs="宋体"/>
                <w:bCs/>
                <w:sz w:val="24"/>
                <w:szCs w:val="24"/>
              </w:rPr>
              <w:t>(2)供应商拒不按照要求对响应文件进行澄清、说明、补正的。</w:t>
            </w:r>
          </w:p>
        </w:tc>
      </w:tr>
    </w:tbl>
    <w:p>
      <w:pPr>
        <w:keepNext/>
        <w:keepLines/>
        <w:tabs>
          <w:tab w:val="left" w:pos="1125"/>
        </w:tabs>
        <w:spacing w:before="340" w:after="330" w:line="576" w:lineRule="auto"/>
        <w:ind w:right="133"/>
        <w:jc w:val="center"/>
        <w:outlineLvl w:val="0"/>
        <w:rPr>
          <w:rFonts w:ascii="宋体" w:hAnsi="宋体" w:eastAsia="宋体" w:cs="Times New Roman"/>
          <w:b/>
          <w:bCs/>
          <w:color w:val="auto"/>
          <w:kern w:val="44"/>
          <w:sz w:val="32"/>
          <w:szCs w:val="32"/>
          <w:highlight w:val="none"/>
        </w:rPr>
      </w:pPr>
      <w:r>
        <w:rPr>
          <w:rFonts w:ascii="宋体" w:hAnsi="宋体" w:eastAsia="宋体" w:cs="Times New Roman"/>
          <w:b/>
          <w:bCs/>
          <w:color w:val="auto"/>
          <w:kern w:val="44"/>
          <w:sz w:val="32"/>
          <w:szCs w:val="32"/>
          <w:highlight w:val="none"/>
        </w:rPr>
        <w:t>评审方法和标准</w:t>
      </w:r>
    </w:p>
    <w:p>
      <w:pPr>
        <w:autoSpaceDE w:val="0"/>
        <w:autoSpaceDN w:val="0"/>
        <w:spacing w:before="160" w:line="360" w:lineRule="auto"/>
        <w:ind w:left="671" w:right="128" w:hanging="3"/>
        <w:jc w:val="left"/>
        <w:rPr>
          <w:rFonts w:ascii="宋体" w:hAnsi="宋体" w:eastAsia="宋体" w:cs="宋体"/>
          <w:b/>
          <w:color w:val="auto"/>
          <w:kern w:val="0"/>
          <w:szCs w:val="21"/>
          <w:highlight w:val="none"/>
          <w:lang w:val="zh-CN" w:bidi="zh-CN"/>
        </w:rPr>
      </w:pPr>
      <w:r>
        <w:rPr>
          <w:rFonts w:ascii="宋体" w:hAnsi="宋体" w:eastAsia="宋体" w:cs="宋体"/>
          <w:b/>
          <w:color w:val="auto"/>
          <w:kern w:val="0"/>
          <w:szCs w:val="21"/>
          <w:highlight w:val="none"/>
          <w:lang w:val="zh-CN" w:bidi="zh-CN"/>
        </w:rPr>
        <w:t>评审方法</w:t>
      </w:r>
    </w:p>
    <w:p>
      <w:pPr>
        <w:autoSpaceDE w:val="0"/>
        <w:autoSpaceDN w:val="0"/>
        <w:spacing w:before="5" w:after="6" w:line="360" w:lineRule="auto"/>
        <w:ind w:left="234" w:right="297" w:firstLine="434"/>
        <w:jc w:val="left"/>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小组对通过供应商的响应文件进行评审，以确定其是否满足</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通知书的实质性要求。评审表如下：</w:t>
      </w:r>
    </w:p>
    <w:tbl>
      <w:tblPr>
        <w:tblStyle w:val="16"/>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vAlign w:val="top"/>
          </w:tcPr>
          <w:p>
            <w:pPr>
              <w:autoSpaceDE w:val="0"/>
              <w:autoSpaceDN w:val="0"/>
              <w:spacing w:before="26" w:line="360" w:lineRule="auto"/>
              <w:ind w:left="3870" w:leftChars="0" w:right="3833" w:rightChars="0"/>
              <w:jc w:val="center"/>
              <w:rPr>
                <w:rFonts w:ascii="宋体" w:hAnsi="宋体" w:eastAsia="宋体" w:cs="宋体"/>
                <w:b/>
                <w:color w:val="auto"/>
                <w:kern w:val="0"/>
                <w:szCs w:val="21"/>
                <w:highlight w:val="none"/>
                <w:lang w:val="zh-CN" w:eastAsia="en-US" w:bidi="zh-CN"/>
              </w:rPr>
            </w:pPr>
            <w:r>
              <w:rPr>
                <w:rFonts w:ascii="宋体" w:hAnsi="宋体" w:eastAsia="宋体" w:cs="宋体"/>
                <w:b/>
                <w:color w:val="auto"/>
                <w:kern w:val="0"/>
                <w:szCs w:val="21"/>
                <w:highlight w:val="none"/>
                <w:lang w:val="zh-CN" w:eastAsia="en-US" w:bidi="zh-CN"/>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77" w:type="dxa"/>
            <w:vAlign w:val="top"/>
          </w:tcPr>
          <w:p>
            <w:pPr>
              <w:autoSpaceDE w:val="0"/>
              <w:autoSpaceDN w:val="0"/>
              <w:spacing w:line="360" w:lineRule="auto"/>
              <w:ind w:left="223"/>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序</w:t>
            </w:r>
          </w:p>
          <w:p>
            <w:pPr>
              <w:autoSpaceDE w:val="0"/>
              <w:autoSpaceDN w:val="0"/>
              <w:spacing w:before="158" w:line="360" w:lineRule="auto"/>
              <w:ind w:left="223" w:leftChars="0"/>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号</w:t>
            </w:r>
          </w:p>
        </w:tc>
        <w:tc>
          <w:tcPr>
            <w:tcW w:w="1894" w:type="dxa"/>
            <w:vAlign w:val="top"/>
          </w:tcPr>
          <w:p>
            <w:pPr>
              <w:autoSpaceDE w:val="0"/>
              <w:autoSpaceDN w:val="0"/>
              <w:spacing w:before="1" w:line="360" w:lineRule="auto"/>
              <w:jc w:val="left"/>
              <w:rPr>
                <w:rFonts w:ascii="宋体" w:hAnsi="宋体" w:eastAsia="宋体" w:cs="宋体"/>
                <w:color w:val="auto"/>
                <w:kern w:val="0"/>
                <w:szCs w:val="21"/>
                <w:highlight w:val="none"/>
                <w:lang w:val="zh-CN" w:eastAsia="en-US" w:bidi="zh-CN"/>
              </w:rPr>
            </w:pPr>
          </w:p>
          <w:p>
            <w:pPr>
              <w:autoSpaceDE w:val="0"/>
              <w:autoSpaceDN w:val="0"/>
              <w:spacing w:before="1"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评审指标</w:t>
            </w:r>
          </w:p>
        </w:tc>
        <w:tc>
          <w:tcPr>
            <w:tcW w:w="2566" w:type="dxa"/>
            <w:vAlign w:val="top"/>
          </w:tcPr>
          <w:p>
            <w:pPr>
              <w:autoSpaceDE w:val="0"/>
              <w:autoSpaceDN w:val="0"/>
              <w:spacing w:before="1" w:line="360" w:lineRule="auto"/>
              <w:jc w:val="left"/>
              <w:rPr>
                <w:rFonts w:ascii="宋体" w:hAnsi="宋体" w:eastAsia="宋体" w:cs="宋体"/>
                <w:color w:val="auto"/>
                <w:kern w:val="0"/>
                <w:szCs w:val="21"/>
                <w:highlight w:val="none"/>
                <w:lang w:val="zh-CN" w:eastAsia="en-US" w:bidi="zh-CN"/>
              </w:rPr>
            </w:pPr>
          </w:p>
          <w:p>
            <w:pPr>
              <w:autoSpaceDE w:val="0"/>
              <w:autoSpaceDN w:val="0"/>
              <w:spacing w:before="1" w:line="360" w:lineRule="auto"/>
              <w:ind w:right="787" w:rightChars="0"/>
              <w:jc w:val="righ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评审标准</w:t>
            </w:r>
          </w:p>
        </w:tc>
        <w:tc>
          <w:tcPr>
            <w:tcW w:w="3339" w:type="dxa"/>
            <w:vAlign w:val="top"/>
          </w:tcPr>
          <w:p>
            <w:pPr>
              <w:autoSpaceDE w:val="0"/>
              <w:autoSpaceDN w:val="0"/>
              <w:spacing w:before="1" w:line="360" w:lineRule="auto"/>
              <w:jc w:val="left"/>
              <w:rPr>
                <w:rFonts w:ascii="宋体" w:hAnsi="宋体" w:eastAsia="宋体" w:cs="宋体"/>
                <w:color w:val="auto"/>
                <w:kern w:val="0"/>
                <w:szCs w:val="21"/>
                <w:highlight w:val="none"/>
                <w:lang w:val="zh-CN" w:eastAsia="en-US" w:bidi="zh-CN"/>
              </w:rPr>
            </w:pPr>
          </w:p>
          <w:p>
            <w:pPr>
              <w:autoSpaceDE w:val="0"/>
              <w:autoSpaceDN w:val="0"/>
              <w:spacing w:before="1" w:line="360" w:lineRule="auto"/>
              <w:ind w:left="832" w:leftChars="0"/>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4"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ind w:left="19" w:lef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1</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6"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营业执照</w:t>
            </w:r>
          </w:p>
        </w:tc>
        <w:tc>
          <w:tcPr>
            <w:tcW w:w="2566"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6"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ind w:right="787" w:rightChars="0"/>
              <w:jc w:val="righ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合法有效</w:t>
            </w:r>
          </w:p>
        </w:tc>
        <w:tc>
          <w:tcPr>
            <w:tcW w:w="3339" w:type="dxa"/>
            <w:vMerge w:val="restart"/>
            <w:vAlign w:val="top"/>
          </w:tcPr>
          <w:p>
            <w:pPr>
              <w:autoSpaceDE w:val="0"/>
              <w:autoSpaceDN w:val="0"/>
              <w:spacing w:line="360" w:lineRule="auto"/>
              <w:ind w:left="105"/>
              <w:jc w:val="left"/>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提供有效的供应商营业执照</w:t>
            </w:r>
          </w:p>
          <w:p>
            <w:pPr>
              <w:autoSpaceDE w:val="0"/>
              <w:autoSpaceDN w:val="0"/>
              <w:spacing w:before="160" w:line="360" w:lineRule="auto"/>
              <w:ind w:left="105" w:right="101"/>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bidi="zh-CN"/>
              </w:rPr>
              <w:t>（或事业单位法人登记证书） 和税务登记证的扫描件，应</w:t>
            </w:r>
            <w:r>
              <w:rPr>
                <w:rFonts w:hint="eastAsia" w:ascii="宋体" w:hAnsi="宋体" w:eastAsia="宋体" w:cs="宋体"/>
                <w:color w:val="auto"/>
                <w:kern w:val="0"/>
                <w:szCs w:val="21"/>
                <w:highlight w:val="none"/>
                <w:lang w:val="zh-CN" w:bidi="zh-CN"/>
              </w:rPr>
              <w:t>完整地体现</w:t>
            </w:r>
            <w:r>
              <w:rPr>
                <w:rFonts w:ascii="宋体" w:hAnsi="宋体" w:eastAsia="宋体" w:cs="宋体"/>
                <w:color w:val="auto"/>
                <w:kern w:val="0"/>
                <w:szCs w:val="21"/>
                <w:highlight w:val="none"/>
                <w:lang w:val="zh-CN" w:bidi="zh-CN"/>
              </w:rPr>
              <w:t>出营业执照（或事业单位法人登记证书）和税务登记证的全部内容。已办理“三证合一”登记的，响应文件中提供营业执照（或事业单位法人登记证书）扫描件即可。</w:t>
            </w:r>
            <w:r>
              <w:rPr>
                <w:rFonts w:ascii="宋体" w:hAnsi="宋体" w:eastAsia="宋体" w:cs="宋体"/>
                <w:color w:val="auto"/>
                <w:kern w:val="0"/>
                <w:szCs w:val="21"/>
                <w:highlight w:val="none"/>
                <w:lang w:val="zh-CN" w:eastAsia="en-US" w:bidi="zh-CN"/>
              </w:rPr>
              <w:t>联合体报价的联合体各方均须提</w:t>
            </w:r>
          </w:p>
          <w:p>
            <w:pPr>
              <w:autoSpaceDE w:val="0"/>
              <w:autoSpaceDN w:val="0"/>
              <w:spacing w:line="360" w:lineRule="auto"/>
              <w:ind w:left="105" w:leftChars="0"/>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181" w:line="360" w:lineRule="auto"/>
              <w:ind w:left="19" w:lef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2</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157"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税务登记证</w:t>
            </w:r>
          </w:p>
        </w:tc>
        <w:tc>
          <w:tcPr>
            <w:tcW w:w="2566"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157" w:line="360" w:lineRule="auto"/>
              <w:ind w:right="787" w:rightChars="0"/>
              <w:jc w:val="righ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合法有效</w:t>
            </w:r>
          </w:p>
        </w:tc>
        <w:tc>
          <w:tcPr>
            <w:tcW w:w="3339" w:type="dxa"/>
            <w:vMerge w:val="continue"/>
            <w:tcBorders>
              <w:top w:val="nil"/>
            </w:tcBorders>
            <w:vAlign w:val="top"/>
          </w:tcPr>
          <w:p>
            <w:pPr>
              <w:autoSpaceDE w:val="0"/>
              <w:autoSpaceDN w:val="0"/>
              <w:spacing w:line="360" w:lineRule="auto"/>
              <w:rPr>
                <w:rFonts w:ascii="宋体" w:hAnsi="宋体" w:eastAsia="宋体" w:cs="Times New Roman"/>
                <w:color w:val="auto"/>
                <w:kern w:val="0"/>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186" w:line="360" w:lineRule="auto"/>
              <w:ind w:left="19" w:leftChars="0"/>
              <w:jc w:val="center"/>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3</w:t>
            </w:r>
          </w:p>
        </w:tc>
        <w:tc>
          <w:tcPr>
            <w:tcW w:w="1894" w:type="dxa"/>
            <w:vAlign w:val="top"/>
          </w:tcPr>
          <w:p>
            <w:pPr>
              <w:autoSpaceDE w:val="0"/>
              <w:autoSpaceDN w:val="0"/>
              <w:spacing w:before="2" w:line="360" w:lineRule="auto"/>
              <w:ind w:left="109" w:leftChars="0" w:right="92" w:rightChars="0"/>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无重大违法记录声明函、无不良信用记录声明函</w:t>
            </w:r>
          </w:p>
        </w:tc>
        <w:tc>
          <w:tcPr>
            <w:tcW w:w="2566" w:type="dxa"/>
            <w:vAlign w:val="top"/>
          </w:tcPr>
          <w:p>
            <w:pPr>
              <w:autoSpaceDE w:val="0"/>
              <w:autoSpaceDN w:val="0"/>
              <w:spacing w:before="2" w:line="360" w:lineRule="auto"/>
              <w:ind w:left="87" w:leftChars="0" w:right="69" w:righ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格式、填写要求符合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通知书规定并加盖供应商</w:t>
            </w:r>
            <w:r>
              <w:rPr>
                <w:rFonts w:hint="eastAsia" w:ascii="宋体" w:hAnsi="宋体" w:eastAsia="宋体" w:cs="宋体"/>
                <w:color w:val="auto"/>
                <w:kern w:val="0"/>
                <w:szCs w:val="21"/>
                <w:highlight w:val="none"/>
                <w:lang w:val="zh-CN" w:bidi="zh-CN"/>
              </w:rPr>
              <w:t>公</w:t>
            </w:r>
            <w:r>
              <w:rPr>
                <w:rFonts w:ascii="宋体" w:hAnsi="宋体" w:eastAsia="宋体" w:cs="宋体"/>
                <w:color w:val="auto"/>
                <w:kern w:val="0"/>
                <w:szCs w:val="21"/>
                <w:highlight w:val="none"/>
                <w:lang w:val="zh-CN" w:bidi="zh-CN"/>
              </w:rPr>
              <w:t>章</w:t>
            </w:r>
          </w:p>
        </w:tc>
        <w:tc>
          <w:tcPr>
            <w:tcW w:w="3339"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186" w:line="360" w:lineRule="auto"/>
              <w:ind w:left="105" w:leftChars="0"/>
              <w:jc w:val="left"/>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详见第</w:t>
            </w:r>
            <w:r>
              <w:rPr>
                <w:rFonts w:hint="eastAsia" w:ascii="宋体" w:hAnsi="宋体" w:eastAsia="宋体" w:cs="宋体"/>
                <w:color w:val="auto"/>
                <w:kern w:val="0"/>
                <w:szCs w:val="21"/>
                <w:highlight w:val="none"/>
                <w:lang w:val="en-US" w:bidi="zh-CN"/>
              </w:rPr>
              <w:t>七</w:t>
            </w:r>
            <w:r>
              <w:rPr>
                <w:rFonts w:ascii="宋体" w:hAnsi="宋体" w:eastAsia="宋体" w:cs="宋体"/>
                <w:color w:val="auto"/>
                <w:kern w:val="0"/>
                <w:szCs w:val="21"/>
                <w:highlight w:val="none"/>
                <w:lang w:val="zh-CN" w:bidi="zh-CN"/>
              </w:rPr>
              <w:t>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8"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ind w:left="19" w:lef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4</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7" w:line="360" w:lineRule="auto"/>
              <w:jc w:val="left"/>
              <w:rPr>
                <w:rFonts w:ascii="宋体" w:hAnsi="宋体" w:eastAsia="宋体" w:cs="宋体"/>
                <w:color w:val="auto"/>
                <w:kern w:val="0"/>
                <w:szCs w:val="21"/>
                <w:highlight w:val="none"/>
                <w:lang w:val="zh-CN" w:eastAsia="en-US" w:bidi="zh-CN"/>
              </w:rPr>
            </w:pPr>
          </w:p>
          <w:p>
            <w:pPr>
              <w:autoSpaceDE w:val="0"/>
              <w:autoSpaceDN w:val="0"/>
              <w:spacing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报价</w:t>
            </w:r>
          </w:p>
        </w:tc>
        <w:tc>
          <w:tcPr>
            <w:tcW w:w="2566" w:type="dxa"/>
            <w:vAlign w:val="top"/>
          </w:tcPr>
          <w:p>
            <w:pPr>
              <w:autoSpaceDE w:val="0"/>
              <w:autoSpaceDN w:val="0"/>
              <w:spacing w:line="360" w:lineRule="auto"/>
              <w:ind w:left="107" w:leftChars="0" w:right="89" w:righ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报价表格式、填写要求符合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通知书规定并加盖供应商</w:t>
            </w:r>
            <w:r>
              <w:rPr>
                <w:rFonts w:hint="eastAsia" w:ascii="宋体" w:hAnsi="宋体" w:eastAsia="宋体" w:cs="宋体"/>
                <w:color w:val="auto"/>
                <w:kern w:val="0"/>
                <w:szCs w:val="21"/>
                <w:highlight w:val="none"/>
                <w:lang w:val="zh-CN" w:bidi="zh-CN"/>
              </w:rPr>
              <w:t>公</w:t>
            </w:r>
            <w:r>
              <w:rPr>
                <w:rFonts w:ascii="宋体" w:hAnsi="宋体" w:eastAsia="宋体" w:cs="宋体"/>
                <w:color w:val="auto"/>
                <w:kern w:val="0"/>
                <w:szCs w:val="21"/>
                <w:highlight w:val="none"/>
                <w:lang w:val="zh-CN" w:bidi="zh-CN"/>
              </w:rPr>
              <w:t>章，报价符合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通知书供应商须知正文第12 条要求</w:t>
            </w:r>
          </w:p>
        </w:tc>
        <w:tc>
          <w:tcPr>
            <w:tcW w:w="3339"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8"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ind w:left="105" w:leftChars="0"/>
              <w:jc w:val="left"/>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详见第</w:t>
            </w:r>
            <w:r>
              <w:rPr>
                <w:rFonts w:hint="eastAsia" w:ascii="宋体" w:hAnsi="宋体" w:eastAsia="宋体" w:cs="宋体"/>
                <w:color w:val="auto"/>
                <w:kern w:val="0"/>
                <w:szCs w:val="21"/>
                <w:highlight w:val="none"/>
                <w:lang w:val="en-US" w:bidi="zh-CN"/>
              </w:rPr>
              <w:t>七</w:t>
            </w:r>
            <w:r>
              <w:rPr>
                <w:rFonts w:ascii="宋体" w:hAnsi="宋体" w:eastAsia="宋体" w:cs="宋体"/>
                <w:color w:val="auto"/>
                <w:kern w:val="0"/>
                <w:szCs w:val="21"/>
                <w:highlight w:val="none"/>
                <w:lang w:val="zh-CN" w:bidi="zh-CN"/>
              </w:rPr>
              <w:t>章响应文件格式一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ind w:left="19" w:lef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5</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192"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响应函</w:t>
            </w:r>
          </w:p>
        </w:tc>
        <w:tc>
          <w:tcPr>
            <w:tcW w:w="2566" w:type="dxa"/>
            <w:vAlign w:val="top"/>
          </w:tcPr>
          <w:p>
            <w:pPr>
              <w:autoSpaceDE w:val="0"/>
              <w:autoSpaceDN w:val="0"/>
              <w:spacing w:before="2" w:line="360" w:lineRule="auto"/>
              <w:ind w:left="87" w:leftChars="0" w:right="69" w:righ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格式、填写要求符合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通知书规定并加盖供应商</w:t>
            </w:r>
            <w:r>
              <w:rPr>
                <w:rFonts w:hint="eastAsia" w:ascii="宋体" w:hAnsi="宋体" w:eastAsia="宋体" w:cs="宋体"/>
                <w:color w:val="auto"/>
                <w:kern w:val="0"/>
                <w:szCs w:val="21"/>
                <w:highlight w:val="none"/>
                <w:lang w:val="zh-CN" w:bidi="zh-CN"/>
              </w:rPr>
              <w:t>公</w:t>
            </w:r>
            <w:r>
              <w:rPr>
                <w:rFonts w:ascii="宋体" w:hAnsi="宋体" w:eastAsia="宋体" w:cs="宋体"/>
                <w:color w:val="auto"/>
                <w:kern w:val="0"/>
                <w:szCs w:val="21"/>
                <w:highlight w:val="none"/>
                <w:lang w:val="zh-CN" w:bidi="zh-CN"/>
              </w:rPr>
              <w:t>章</w:t>
            </w:r>
          </w:p>
        </w:tc>
        <w:tc>
          <w:tcPr>
            <w:tcW w:w="3339"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jc w:val="left"/>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详见第</w:t>
            </w:r>
            <w:r>
              <w:rPr>
                <w:rFonts w:hint="eastAsia" w:ascii="宋体" w:hAnsi="宋体" w:eastAsia="宋体" w:cs="宋体"/>
                <w:color w:val="auto"/>
                <w:kern w:val="0"/>
                <w:szCs w:val="21"/>
                <w:highlight w:val="none"/>
                <w:lang w:val="en-US" w:bidi="zh-CN"/>
              </w:rPr>
              <w:t>七</w:t>
            </w:r>
            <w:r>
              <w:rPr>
                <w:rFonts w:ascii="宋体" w:hAnsi="宋体" w:eastAsia="宋体" w:cs="宋体"/>
                <w:color w:val="auto"/>
                <w:kern w:val="0"/>
                <w:szCs w:val="21"/>
                <w:highlight w:val="none"/>
                <w:lang w:val="zh-CN" w:bidi="zh-CN"/>
              </w:rPr>
              <w:t>章响应文件格式二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216" w:line="360" w:lineRule="auto"/>
              <w:ind w:left="19" w:leftChars="0"/>
              <w:jc w:val="center"/>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en-US" w:bidi="zh-CN"/>
              </w:rPr>
              <w:t>6</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192"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授权书</w:t>
            </w:r>
          </w:p>
        </w:tc>
        <w:tc>
          <w:tcPr>
            <w:tcW w:w="2566" w:type="dxa"/>
            <w:vAlign w:val="top"/>
          </w:tcPr>
          <w:p>
            <w:pPr>
              <w:autoSpaceDE w:val="0"/>
              <w:autoSpaceDN w:val="0"/>
              <w:spacing w:line="360" w:lineRule="auto"/>
              <w:ind w:left="87" w:leftChars="0" w:right="69" w:rightChars="0"/>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格式、填写要求符合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通知书规定并加盖供应商</w:t>
            </w:r>
            <w:r>
              <w:rPr>
                <w:rFonts w:hint="eastAsia" w:ascii="宋体" w:hAnsi="宋体" w:eastAsia="宋体" w:cs="宋体"/>
                <w:color w:val="auto"/>
                <w:kern w:val="0"/>
                <w:szCs w:val="21"/>
                <w:highlight w:val="none"/>
                <w:lang w:val="zh-CN" w:bidi="zh-CN"/>
              </w:rPr>
              <w:t>公</w:t>
            </w:r>
            <w:r>
              <w:rPr>
                <w:rFonts w:ascii="宋体" w:hAnsi="宋体" w:eastAsia="宋体" w:cs="宋体"/>
                <w:color w:val="auto"/>
                <w:kern w:val="0"/>
                <w:szCs w:val="21"/>
                <w:highlight w:val="none"/>
                <w:lang w:val="zh-CN" w:bidi="zh-CN"/>
              </w:rPr>
              <w:t>章</w:t>
            </w:r>
          </w:p>
        </w:tc>
        <w:tc>
          <w:tcPr>
            <w:tcW w:w="3339" w:type="dxa"/>
            <w:vAlign w:val="top"/>
          </w:tcPr>
          <w:p>
            <w:pPr>
              <w:autoSpaceDE w:val="0"/>
              <w:autoSpaceDN w:val="0"/>
              <w:spacing w:before="26" w:line="360" w:lineRule="auto"/>
              <w:ind w:left="105" w:leftChars="0" w:right="101" w:rightChars="0"/>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法定代表人参加</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的无需此件，提供身份证明即可。详见第</w:t>
            </w:r>
            <w:r>
              <w:rPr>
                <w:rFonts w:hint="eastAsia" w:ascii="宋体" w:hAnsi="宋体" w:eastAsia="宋体" w:cs="宋体"/>
                <w:color w:val="auto"/>
                <w:kern w:val="0"/>
                <w:szCs w:val="21"/>
                <w:highlight w:val="none"/>
                <w:lang w:val="en-US" w:bidi="zh-CN"/>
              </w:rPr>
              <w:t>七</w:t>
            </w:r>
            <w:r>
              <w:rPr>
                <w:rFonts w:ascii="宋体" w:hAnsi="宋体" w:eastAsia="宋体" w:cs="宋体"/>
                <w:color w:val="auto"/>
                <w:kern w:val="0"/>
                <w:szCs w:val="21"/>
                <w:highlight w:val="none"/>
                <w:lang w:val="zh-CN" w:bidi="zh-CN"/>
              </w:rPr>
              <w:t>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9"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ind w:left="19" w:leftChars="0"/>
              <w:jc w:val="center"/>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en-US" w:bidi="zh-CN"/>
              </w:rPr>
              <w:t>7</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eastAsia="en-US" w:bidi="zh-CN"/>
              </w:rPr>
            </w:pPr>
          </w:p>
          <w:p>
            <w:pPr>
              <w:autoSpaceDE w:val="0"/>
              <w:autoSpaceDN w:val="0"/>
              <w:spacing w:before="6"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ind w:left="107" w:leftChars="0" w:right="92" w:rightChars="0"/>
              <w:jc w:val="center"/>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商务响应情况</w:t>
            </w:r>
          </w:p>
        </w:tc>
        <w:tc>
          <w:tcPr>
            <w:tcW w:w="2566" w:type="dxa"/>
            <w:vAlign w:val="top"/>
          </w:tcPr>
          <w:p>
            <w:pPr>
              <w:autoSpaceDE w:val="0"/>
              <w:autoSpaceDN w:val="0"/>
              <w:spacing w:line="360" w:lineRule="auto"/>
              <w:ind w:left="107" w:right="89"/>
              <w:jc w:val="center"/>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符合</w:t>
            </w:r>
            <w:r>
              <w:rPr>
                <w:rFonts w:hint="eastAsia" w:ascii="宋体" w:hAnsi="宋体" w:eastAsia="宋体" w:cs="宋体"/>
                <w:color w:val="auto"/>
                <w:kern w:val="0"/>
                <w:szCs w:val="21"/>
                <w:highlight w:val="none"/>
                <w:lang w:val="en-US" w:bidi="zh-CN"/>
              </w:rPr>
              <w:t>谈判</w:t>
            </w:r>
            <w:r>
              <w:rPr>
                <w:rFonts w:ascii="宋体" w:hAnsi="宋体" w:eastAsia="宋体" w:cs="宋体"/>
                <w:color w:val="auto"/>
                <w:kern w:val="0"/>
                <w:szCs w:val="21"/>
                <w:highlight w:val="none"/>
                <w:lang w:val="zh-CN" w:bidi="zh-CN"/>
              </w:rPr>
              <w:t>通知书采购需求中对付款方式、供货及安装期限、供货及安装地点、免费质保期的要求。</w:t>
            </w:r>
          </w:p>
          <w:p>
            <w:pPr>
              <w:autoSpaceDE w:val="0"/>
              <w:autoSpaceDN w:val="0"/>
              <w:spacing w:before="46" w:line="360" w:lineRule="auto"/>
              <w:ind w:left="203" w:leftChars="0" w:right="187" w:rightChars="0"/>
              <w:jc w:val="center"/>
              <w:rPr>
                <w:rFonts w:ascii="宋体" w:hAnsi="宋体" w:eastAsia="宋体" w:cs="宋体"/>
                <w:color w:val="auto"/>
                <w:kern w:val="0"/>
                <w:szCs w:val="21"/>
                <w:highlight w:val="none"/>
                <w:lang w:val="zh-CN" w:eastAsia="en-US" w:bidi="zh-CN"/>
              </w:rPr>
            </w:pPr>
          </w:p>
        </w:tc>
        <w:tc>
          <w:tcPr>
            <w:tcW w:w="3339"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156" w:line="360" w:lineRule="auto"/>
              <w:ind w:left="105"/>
              <w:jc w:val="left"/>
              <w:rPr>
                <w:rFonts w:ascii="宋体" w:hAnsi="宋体" w:eastAsia="宋体" w:cs="宋体"/>
                <w:color w:val="auto"/>
                <w:kern w:val="0"/>
                <w:szCs w:val="21"/>
                <w:highlight w:val="none"/>
                <w:lang w:val="zh-CN" w:bidi="zh-CN"/>
              </w:rPr>
            </w:pPr>
            <w:r>
              <w:rPr>
                <w:rFonts w:ascii="宋体" w:hAnsi="宋体" w:eastAsia="宋体" w:cs="宋体"/>
                <w:color w:val="auto"/>
                <w:kern w:val="0"/>
                <w:szCs w:val="21"/>
                <w:highlight w:val="none"/>
                <w:lang w:val="zh-CN" w:bidi="zh-CN"/>
              </w:rPr>
              <w:t>详见第</w:t>
            </w:r>
            <w:r>
              <w:rPr>
                <w:rFonts w:hint="eastAsia" w:ascii="宋体" w:hAnsi="宋体" w:eastAsia="宋体" w:cs="宋体"/>
                <w:color w:val="auto"/>
                <w:kern w:val="0"/>
                <w:szCs w:val="21"/>
                <w:highlight w:val="none"/>
                <w:lang w:val="en-US" w:bidi="zh-CN"/>
              </w:rPr>
              <w:t>七</w:t>
            </w:r>
            <w:r>
              <w:rPr>
                <w:rFonts w:ascii="宋体" w:hAnsi="宋体" w:eastAsia="宋体" w:cs="宋体"/>
                <w:color w:val="auto"/>
                <w:kern w:val="0"/>
                <w:szCs w:val="21"/>
                <w:highlight w:val="none"/>
                <w:lang w:val="zh-CN" w:bidi="zh-CN"/>
              </w:rPr>
              <w:t>章响应文件格式五</w:t>
            </w:r>
          </w:p>
          <w:p>
            <w:pPr>
              <w:autoSpaceDE w:val="0"/>
              <w:autoSpaceDN w:val="0"/>
              <w:spacing w:before="158" w:line="360" w:lineRule="auto"/>
              <w:ind w:left="105" w:leftChars="0"/>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677"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172" w:line="360" w:lineRule="auto"/>
              <w:ind w:left="202" w:leftChars="0" w:right="184" w:rightChars="0"/>
              <w:jc w:val="center"/>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en-US" w:eastAsia="en-US" w:bidi="zh-CN"/>
              </w:rPr>
              <w:t>8</w:t>
            </w:r>
          </w:p>
        </w:tc>
        <w:tc>
          <w:tcPr>
            <w:tcW w:w="1894"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p>
          <w:p>
            <w:pPr>
              <w:autoSpaceDE w:val="0"/>
              <w:autoSpaceDN w:val="0"/>
              <w:spacing w:before="148" w:line="360" w:lineRule="auto"/>
              <w:ind w:left="469" w:leftChars="0"/>
              <w:jc w:val="left"/>
              <w:rPr>
                <w:rFonts w:ascii="宋体" w:hAnsi="宋体" w:eastAsia="宋体" w:cs="宋体"/>
                <w:color w:val="auto"/>
                <w:kern w:val="0"/>
                <w:szCs w:val="21"/>
                <w:highlight w:val="none"/>
                <w:lang w:val="zh-CN" w:eastAsia="en-US" w:bidi="zh-CN"/>
              </w:rPr>
            </w:pPr>
            <w:r>
              <w:rPr>
                <w:rFonts w:ascii="宋体" w:hAnsi="宋体" w:eastAsia="宋体" w:cs="宋体"/>
                <w:color w:val="auto"/>
                <w:kern w:val="0"/>
                <w:szCs w:val="21"/>
                <w:highlight w:val="none"/>
                <w:lang w:val="zh-CN" w:eastAsia="en-US" w:bidi="zh-CN"/>
              </w:rPr>
              <w:t>其他要求</w:t>
            </w:r>
          </w:p>
        </w:tc>
        <w:tc>
          <w:tcPr>
            <w:tcW w:w="2566" w:type="dxa"/>
            <w:vAlign w:val="top"/>
          </w:tcPr>
          <w:p>
            <w:pPr>
              <w:autoSpaceDE w:val="0"/>
              <w:autoSpaceDN w:val="0"/>
              <w:spacing w:line="360" w:lineRule="auto"/>
              <w:ind w:left="87" w:right="69"/>
              <w:jc w:val="center"/>
              <w:rPr>
                <w:rFonts w:ascii="宋体" w:hAnsi="宋体" w:eastAsia="宋体" w:cs="宋体"/>
                <w:color w:val="auto"/>
                <w:kern w:val="0"/>
                <w:szCs w:val="21"/>
                <w:highlight w:val="none"/>
                <w:lang w:bidi="zh-CN"/>
              </w:rPr>
            </w:pPr>
          </w:p>
          <w:p>
            <w:pPr>
              <w:autoSpaceDE w:val="0"/>
              <w:autoSpaceDN w:val="0"/>
              <w:spacing w:line="360" w:lineRule="auto"/>
              <w:ind w:left="87" w:leftChars="0" w:right="69" w:rightChars="0"/>
              <w:jc w:val="center"/>
              <w:rPr>
                <w:rFonts w:ascii="宋体" w:hAnsi="宋体" w:eastAsia="宋体" w:cs="宋体"/>
                <w:color w:val="auto"/>
                <w:kern w:val="0"/>
                <w:szCs w:val="21"/>
                <w:highlight w:val="none"/>
                <w:lang w:bidi="zh-CN"/>
              </w:rPr>
            </w:pPr>
            <w:r>
              <w:rPr>
                <w:rFonts w:hint="eastAsia" w:ascii="宋体" w:hAnsi="宋体" w:eastAsia="宋体" w:cs="宋体"/>
                <w:color w:val="auto"/>
                <w:kern w:val="0"/>
                <w:szCs w:val="21"/>
                <w:highlight w:val="none"/>
                <w:lang w:val="en-US" w:bidi="zh-CN"/>
              </w:rPr>
              <w:t>谈判</w:t>
            </w:r>
            <w:r>
              <w:rPr>
                <w:rFonts w:hint="eastAsia" w:ascii="宋体" w:hAnsi="宋体" w:eastAsia="宋体" w:cs="宋体"/>
                <w:color w:val="auto"/>
                <w:kern w:val="0"/>
                <w:szCs w:val="21"/>
                <w:highlight w:val="none"/>
                <w:lang w:bidi="zh-CN"/>
              </w:rPr>
              <w:t>文件的其他要求</w:t>
            </w:r>
          </w:p>
        </w:tc>
        <w:tc>
          <w:tcPr>
            <w:tcW w:w="3339" w:type="dxa"/>
            <w:vAlign w:val="top"/>
          </w:tcPr>
          <w:p>
            <w:pPr>
              <w:autoSpaceDE w:val="0"/>
              <w:autoSpaceDN w:val="0"/>
              <w:spacing w:line="360" w:lineRule="auto"/>
              <w:jc w:val="left"/>
              <w:rPr>
                <w:rFonts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 xml:space="preserve">     </w:t>
            </w:r>
          </w:p>
        </w:tc>
      </w:tr>
    </w:tbl>
    <w:p>
      <w:pPr>
        <w:spacing w:before="1" w:line="360" w:lineRule="auto"/>
        <w:ind w:left="669"/>
        <w:rPr>
          <w:rFonts w:ascii="宋体" w:hAnsi="宋体" w:eastAsia="宋体" w:cs="Times New Roman"/>
          <w:color w:val="auto"/>
          <w:szCs w:val="21"/>
          <w:highlight w:val="none"/>
        </w:rPr>
      </w:pPr>
      <w:r>
        <w:rPr>
          <w:rFonts w:ascii="宋体" w:hAnsi="宋体" w:eastAsia="宋体" w:cs="Times New Roman"/>
          <w:b/>
          <w:color w:val="auto"/>
          <w:szCs w:val="21"/>
          <w:highlight w:val="none"/>
        </w:rPr>
        <w:t>评审指标通过标准：</w:t>
      </w:r>
      <w:r>
        <w:rPr>
          <w:rFonts w:ascii="宋体" w:hAnsi="宋体" w:eastAsia="宋体" w:cs="Times New Roman"/>
          <w:color w:val="auto"/>
          <w:szCs w:val="21"/>
          <w:highlight w:val="none"/>
        </w:rPr>
        <w:t>供应商必须通过评审表中的全部评审指标。</w:t>
      </w:r>
    </w:p>
    <w:p>
      <w:pPr>
        <w:spacing w:line="360" w:lineRule="auto"/>
        <w:ind w:firstLine="602" w:firstLineChars="250"/>
        <w:rPr>
          <w:rFonts w:hint="eastAsia" w:ascii="宋体" w:hAnsi="宋体"/>
          <w:b/>
          <w:sz w:val="24"/>
        </w:rPr>
      </w:pPr>
      <w:r>
        <w:rPr>
          <w:rFonts w:hint="eastAsia" w:ascii="宋体" w:hAnsi="宋体" w:cs="宋体"/>
          <w:b/>
          <w:bCs/>
          <w:sz w:val="24"/>
          <w:szCs w:val="24"/>
        </w:rPr>
        <w:t>以上参与评审的证书、证件等资料复印件并加盖公章胶装在响应文件中，不需要提供原件；</w:t>
      </w:r>
      <w:r>
        <w:rPr>
          <w:rFonts w:hint="eastAsia"/>
          <w:b/>
          <w:sz w:val="24"/>
          <w:szCs w:val="24"/>
        </w:rPr>
        <w:t>以上有一项不符合评审标准的，视为未通过，按无效标处理，不再进入下阶段评审程序。</w:t>
      </w:r>
    </w:p>
    <w:p>
      <w:pPr>
        <w:numPr>
          <w:ilvl w:val="0"/>
          <w:numId w:val="3"/>
        </w:numPr>
        <w:spacing w:line="360" w:lineRule="auto"/>
        <w:rPr>
          <w:rFonts w:hint="eastAsia"/>
          <w:b/>
          <w:bCs/>
          <w:sz w:val="24"/>
          <w:szCs w:val="24"/>
        </w:rPr>
      </w:pPr>
      <w:r>
        <w:rPr>
          <w:rFonts w:hint="eastAsia"/>
          <w:b/>
          <w:bCs/>
          <w:sz w:val="24"/>
          <w:szCs w:val="24"/>
        </w:rPr>
        <w:t>评审方法</w:t>
      </w:r>
    </w:p>
    <w:p>
      <w:pPr>
        <w:numPr>
          <w:ilvl w:val="0"/>
          <w:numId w:val="0"/>
        </w:numPr>
        <w:spacing w:line="360" w:lineRule="auto"/>
        <w:rPr>
          <w:rFonts w:hint="eastAsia"/>
          <w:sz w:val="24"/>
          <w:szCs w:val="24"/>
        </w:rPr>
      </w:pPr>
      <w:r>
        <w:rPr>
          <w:rFonts w:hint="eastAsia"/>
          <w:sz w:val="24"/>
          <w:szCs w:val="24"/>
        </w:rPr>
        <w:t>1.1谈判小组依据本章评审标准规定对响应文件进行评审。</w:t>
      </w:r>
    </w:p>
    <w:p>
      <w:pPr>
        <w:spacing w:line="360" w:lineRule="auto"/>
        <w:rPr>
          <w:rFonts w:hint="eastAsia"/>
          <w:sz w:val="24"/>
          <w:szCs w:val="24"/>
        </w:rPr>
      </w:pPr>
      <w:r>
        <w:rPr>
          <w:rFonts w:hint="eastAsia"/>
          <w:sz w:val="24"/>
          <w:szCs w:val="24"/>
        </w:rPr>
        <w:t>1.2 供应商有以下情形之一的，其响应作否决其响应处理：</w:t>
      </w:r>
    </w:p>
    <w:p>
      <w:pPr>
        <w:spacing w:line="360" w:lineRule="auto"/>
        <w:rPr>
          <w:rFonts w:hint="eastAsia"/>
          <w:sz w:val="24"/>
          <w:szCs w:val="24"/>
        </w:rPr>
      </w:pPr>
      <w:r>
        <w:rPr>
          <w:rFonts w:hint="eastAsia"/>
          <w:sz w:val="24"/>
          <w:szCs w:val="24"/>
        </w:rPr>
        <w:t>1.2.1详见《第三章“评审办法”谈判小组否决其响应的条款》所列内容。</w:t>
      </w:r>
    </w:p>
    <w:p>
      <w:pPr>
        <w:spacing w:line="360" w:lineRule="auto"/>
        <w:rPr>
          <w:rFonts w:hint="eastAsia"/>
          <w:sz w:val="24"/>
          <w:szCs w:val="24"/>
        </w:rPr>
      </w:pPr>
      <w:r>
        <w:rPr>
          <w:rFonts w:hint="eastAsia"/>
          <w:sz w:val="24"/>
          <w:szCs w:val="24"/>
        </w:rPr>
        <w:t>1.3响应文件中的大写金额与小写金额不一致的，以大写金额为准，调整或修正的价格经供应商书面确认后具有约束力。</w:t>
      </w:r>
    </w:p>
    <w:p>
      <w:pPr>
        <w:spacing w:line="360" w:lineRule="auto"/>
        <w:rPr>
          <w:rFonts w:hint="eastAsia"/>
          <w:sz w:val="24"/>
          <w:szCs w:val="24"/>
        </w:rPr>
      </w:pPr>
      <w:r>
        <w:rPr>
          <w:rFonts w:hint="eastAsia"/>
          <w:sz w:val="24"/>
          <w:szCs w:val="24"/>
        </w:rPr>
        <w:t>1.4供应商的报价明显低于其他响应报价，谈判小组认为其响应报价可能低于成本的，应当要求该供应商作出书面说明并提供相应的证明材料。供应商不能合理说明或者不能提供相应证明材料的，由谈判小组讨论认定该供应商以低于成本报价竞标，作否决其响应处理。</w:t>
      </w:r>
    </w:p>
    <w:p>
      <w:pPr>
        <w:spacing w:line="360" w:lineRule="auto"/>
        <w:rPr>
          <w:rFonts w:hint="eastAsia"/>
          <w:b/>
          <w:bCs/>
          <w:sz w:val="24"/>
          <w:szCs w:val="24"/>
        </w:rPr>
      </w:pPr>
      <w:r>
        <w:rPr>
          <w:rFonts w:hint="eastAsia"/>
          <w:b/>
          <w:bCs/>
          <w:sz w:val="24"/>
          <w:szCs w:val="24"/>
        </w:rPr>
        <w:t>2. 谈判原则</w:t>
      </w:r>
    </w:p>
    <w:p>
      <w:pPr>
        <w:spacing w:line="360" w:lineRule="auto"/>
        <w:ind w:firstLine="480" w:firstLineChars="200"/>
        <w:rPr>
          <w:rFonts w:hint="eastAsia"/>
          <w:sz w:val="24"/>
          <w:szCs w:val="24"/>
        </w:rPr>
      </w:pPr>
      <w:r>
        <w:rPr>
          <w:rFonts w:hint="eastAsia"/>
          <w:sz w:val="24"/>
          <w:szCs w:val="24"/>
        </w:rPr>
        <w:t>遵循公平、公正、科学、择优的原则。</w:t>
      </w:r>
    </w:p>
    <w:p>
      <w:pPr>
        <w:spacing w:line="360" w:lineRule="auto"/>
        <w:rPr>
          <w:rFonts w:hint="eastAsia"/>
          <w:b/>
          <w:bCs/>
          <w:sz w:val="24"/>
          <w:szCs w:val="24"/>
        </w:rPr>
      </w:pPr>
      <w:r>
        <w:rPr>
          <w:rFonts w:hint="eastAsia"/>
          <w:b/>
          <w:bCs/>
          <w:sz w:val="24"/>
          <w:szCs w:val="24"/>
        </w:rPr>
        <w:t>3. 谈判小组组成及职责</w:t>
      </w:r>
    </w:p>
    <w:p>
      <w:pPr>
        <w:spacing w:line="360" w:lineRule="auto"/>
        <w:rPr>
          <w:rFonts w:hint="eastAsia"/>
          <w:b/>
          <w:bCs/>
          <w:sz w:val="24"/>
          <w:szCs w:val="24"/>
        </w:rPr>
      </w:pPr>
      <w:r>
        <w:rPr>
          <w:rFonts w:hint="eastAsia"/>
          <w:b/>
          <w:bCs/>
          <w:sz w:val="24"/>
          <w:szCs w:val="24"/>
        </w:rPr>
        <w:t>3.1谈判小组</w:t>
      </w:r>
    </w:p>
    <w:p>
      <w:pPr>
        <w:spacing w:line="360" w:lineRule="auto"/>
        <w:ind w:firstLine="480" w:firstLineChars="200"/>
        <w:rPr>
          <w:rFonts w:hint="eastAsia"/>
          <w:sz w:val="24"/>
          <w:szCs w:val="24"/>
        </w:rPr>
      </w:pPr>
      <w:r>
        <w:rPr>
          <w:rFonts w:hint="eastAsia"/>
          <w:sz w:val="24"/>
          <w:szCs w:val="24"/>
        </w:rPr>
        <w:t>谈判小组由采购人依法组建。所有谈判小组成员推举产生谈判小组组长。</w:t>
      </w:r>
    </w:p>
    <w:p>
      <w:pPr>
        <w:spacing w:line="360" w:lineRule="auto"/>
        <w:rPr>
          <w:rFonts w:hint="eastAsia"/>
          <w:b/>
          <w:bCs/>
          <w:sz w:val="24"/>
          <w:szCs w:val="24"/>
        </w:rPr>
      </w:pPr>
      <w:r>
        <w:rPr>
          <w:rFonts w:hint="eastAsia"/>
          <w:b/>
          <w:bCs/>
          <w:sz w:val="24"/>
          <w:szCs w:val="24"/>
        </w:rPr>
        <w:t>3.2 谈判小组的职责</w:t>
      </w:r>
    </w:p>
    <w:p>
      <w:pPr>
        <w:spacing w:line="360" w:lineRule="auto"/>
        <w:ind w:firstLine="480" w:firstLineChars="200"/>
        <w:rPr>
          <w:rFonts w:hint="eastAsia"/>
          <w:sz w:val="24"/>
          <w:szCs w:val="24"/>
        </w:rPr>
      </w:pPr>
      <w:r>
        <w:rPr>
          <w:rFonts w:hint="eastAsia"/>
          <w:sz w:val="24"/>
          <w:szCs w:val="24"/>
        </w:rPr>
        <w:t>谈判小组应当根据评审办法，对响应文件进行评审和比较，向采购人推荐成交候选人或根据采购人的授权直接确定成交人。各谈判小组独立评审，提出评审意见，不受任何单位或者个人的干预。各谈判小组成员对各自评审结果负责，并在评审报告上签字确认。对评审结论持有异议的谈判小组成员可以书面方式阐述其不同意见和理由。谈判小组成员拒绝在评审报告上签字且不陈述其不同意见和理由的，视为同意评审结论。谈判小组应当对此作出书面说明并记录在案。</w:t>
      </w:r>
    </w:p>
    <w:p>
      <w:pPr>
        <w:spacing w:line="360" w:lineRule="auto"/>
        <w:rPr>
          <w:rFonts w:hint="eastAsia"/>
          <w:b/>
          <w:bCs/>
          <w:sz w:val="24"/>
          <w:szCs w:val="24"/>
        </w:rPr>
      </w:pPr>
      <w:bookmarkStart w:id="246" w:name="_Toc402855790"/>
      <w:bookmarkStart w:id="247" w:name="_Toc29145251"/>
      <w:bookmarkStart w:id="248" w:name="_Toc416271437"/>
      <w:bookmarkStart w:id="249" w:name="_Toc412647649"/>
      <w:bookmarkStart w:id="250" w:name="_Toc416271966"/>
      <w:bookmarkStart w:id="251" w:name="_Toc465933789"/>
      <w:bookmarkStart w:id="252" w:name="_Toc422395180"/>
      <w:bookmarkStart w:id="253" w:name="_Toc394241257"/>
      <w:bookmarkStart w:id="254" w:name="_Toc402426883"/>
      <w:bookmarkStart w:id="255" w:name="_Toc144974563"/>
      <w:bookmarkStart w:id="256" w:name="_Toc179632614"/>
      <w:bookmarkStart w:id="257" w:name="_Toc152042373"/>
      <w:bookmarkStart w:id="258" w:name="_Toc296602484"/>
      <w:bookmarkStart w:id="259" w:name="_Toc152045596"/>
      <w:bookmarkStart w:id="260" w:name="_Toc246996982"/>
      <w:bookmarkStart w:id="261" w:name="_Toc247085754"/>
      <w:bookmarkStart w:id="262" w:name="_Toc246996239"/>
      <w:r>
        <w:rPr>
          <w:rFonts w:hint="eastAsia"/>
          <w:b/>
          <w:bCs/>
          <w:sz w:val="24"/>
          <w:szCs w:val="24"/>
        </w:rPr>
        <w:t>4. 评审程序</w:t>
      </w:r>
      <w:bookmarkEnd w:id="246"/>
      <w:bookmarkEnd w:id="247"/>
      <w:bookmarkEnd w:id="248"/>
      <w:bookmarkEnd w:id="249"/>
      <w:bookmarkEnd w:id="250"/>
      <w:bookmarkEnd w:id="251"/>
      <w:bookmarkEnd w:id="252"/>
      <w:bookmarkEnd w:id="253"/>
      <w:bookmarkEnd w:id="254"/>
    </w:p>
    <w:p>
      <w:pPr>
        <w:spacing w:line="360" w:lineRule="auto"/>
        <w:ind w:firstLine="480" w:firstLineChars="200"/>
        <w:rPr>
          <w:rFonts w:hint="eastAsia"/>
          <w:sz w:val="24"/>
          <w:szCs w:val="24"/>
        </w:rPr>
      </w:pPr>
      <w:r>
        <w:rPr>
          <w:rFonts w:hint="eastAsia"/>
          <w:sz w:val="24"/>
          <w:szCs w:val="24"/>
        </w:rPr>
        <w:t>评审准备、初步评审（符合性评审和资格评审）、详细评审。</w:t>
      </w:r>
    </w:p>
    <w:p>
      <w:pPr>
        <w:spacing w:line="360" w:lineRule="auto"/>
        <w:rPr>
          <w:rFonts w:hint="eastAsia"/>
          <w:b/>
          <w:bCs/>
          <w:sz w:val="24"/>
          <w:szCs w:val="24"/>
        </w:rPr>
      </w:pPr>
      <w:r>
        <w:rPr>
          <w:rFonts w:hint="eastAsia"/>
          <w:b/>
          <w:bCs/>
          <w:sz w:val="24"/>
          <w:szCs w:val="24"/>
        </w:rPr>
        <w:t>4.1评审准备</w:t>
      </w:r>
    </w:p>
    <w:p>
      <w:pPr>
        <w:spacing w:line="360" w:lineRule="auto"/>
        <w:ind w:firstLine="480" w:firstLineChars="200"/>
        <w:rPr>
          <w:rFonts w:hint="eastAsia"/>
          <w:sz w:val="24"/>
          <w:szCs w:val="24"/>
        </w:rPr>
      </w:pPr>
      <w:r>
        <w:rPr>
          <w:rFonts w:hint="eastAsia"/>
          <w:sz w:val="24"/>
          <w:szCs w:val="24"/>
        </w:rPr>
        <w:t>谈判小组熟悉评审工作情况：</w:t>
      </w:r>
    </w:p>
    <w:p>
      <w:pPr>
        <w:spacing w:line="360" w:lineRule="auto"/>
        <w:rPr>
          <w:rFonts w:hint="eastAsia"/>
          <w:sz w:val="24"/>
          <w:szCs w:val="24"/>
        </w:rPr>
      </w:pPr>
      <w:r>
        <w:rPr>
          <w:rFonts w:hint="eastAsia"/>
          <w:sz w:val="24"/>
          <w:szCs w:val="24"/>
        </w:rPr>
        <w:t>(1)听取采购人或者其委托的工程采购代理机构对采购项目情况的介绍。</w:t>
      </w:r>
    </w:p>
    <w:p>
      <w:pPr>
        <w:spacing w:line="360" w:lineRule="auto"/>
        <w:rPr>
          <w:rFonts w:hint="eastAsia"/>
          <w:sz w:val="24"/>
          <w:szCs w:val="24"/>
        </w:rPr>
      </w:pPr>
      <w:r>
        <w:rPr>
          <w:rFonts w:hint="eastAsia"/>
          <w:sz w:val="24"/>
          <w:szCs w:val="24"/>
        </w:rPr>
        <w:t>(2)阅读、研究竞争性谈判文件和相关评审资料，获取评审所需要的重要信息和数据,至少应了解和熟悉以下内容：采购的目标、采购项目的范围和性质、竞争性谈判文件规定的主要技术要求、标准和商务条款。</w:t>
      </w:r>
    </w:p>
    <w:p>
      <w:pPr>
        <w:spacing w:line="360" w:lineRule="auto"/>
        <w:rPr>
          <w:rFonts w:hint="eastAsia"/>
          <w:sz w:val="24"/>
          <w:szCs w:val="24"/>
        </w:rPr>
      </w:pPr>
      <w:r>
        <w:rPr>
          <w:rFonts w:hint="eastAsia"/>
          <w:sz w:val="24"/>
          <w:szCs w:val="24"/>
        </w:rPr>
        <w:t>(3)熟悉竞争性谈判文件规定的评审标准和评审方法及在评审过程中需要考虑的相关因素。</w:t>
      </w:r>
    </w:p>
    <w:p>
      <w:pPr>
        <w:spacing w:line="360" w:lineRule="auto"/>
        <w:rPr>
          <w:rFonts w:hint="eastAsia"/>
          <w:sz w:val="24"/>
          <w:szCs w:val="24"/>
        </w:rPr>
      </w:pPr>
      <w:r>
        <w:rPr>
          <w:rFonts w:hint="eastAsia"/>
          <w:sz w:val="24"/>
          <w:szCs w:val="24"/>
        </w:rPr>
        <w:t>(4)核对评审工作用表。</w:t>
      </w:r>
    </w:p>
    <w:p>
      <w:pPr>
        <w:spacing w:line="360" w:lineRule="auto"/>
        <w:rPr>
          <w:rFonts w:hint="eastAsia"/>
          <w:b/>
          <w:bCs/>
          <w:sz w:val="24"/>
          <w:szCs w:val="24"/>
        </w:rPr>
      </w:pPr>
      <w:r>
        <w:rPr>
          <w:rFonts w:hint="eastAsia"/>
          <w:b/>
          <w:bCs/>
          <w:sz w:val="24"/>
          <w:szCs w:val="24"/>
        </w:rPr>
        <w:t>4.2初步评审</w:t>
      </w:r>
    </w:p>
    <w:p>
      <w:pPr>
        <w:spacing w:line="360" w:lineRule="auto"/>
        <w:ind w:firstLine="480" w:firstLineChars="200"/>
        <w:rPr>
          <w:rFonts w:hint="eastAsia"/>
          <w:sz w:val="24"/>
          <w:szCs w:val="24"/>
        </w:rPr>
      </w:pPr>
      <w:r>
        <w:rPr>
          <w:rFonts w:hint="eastAsia"/>
          <w:sz w:val="24"/>
          <w:szCs w:val="24"/>
        </w:rPr>
        <w:t>符合性评审和资格评审。谈判小组依据上述标准对响应文件进行初步评审。有一项不符合评审标准的，视为未通过，不得进入详细评审，响应文件作无效标处理。</w:t>
      </w:r>
    </w:p>
    <w:p>
      <w:pPr>
        <w:spacing w:line="360" w:lineRule="auto"/>
        <w:rPr>
          <w:rFonts w:hint="eastAsia"/>
          <w:b/>
          <w:bCs/>
          <w:sz w:val="24"/>
          <w:szCs w:val="24"/>
        </w:rPr>
      </w:pPr>
      <w:r>
        <w:rPr>
          <w:rFonts w:hint="eastAsia"/>
          <w:b/>
          <w:bCs/>
          <w:sz w:val="24"/>
          <w:szCs w:val="24"/>
        </w:rPr>
        <w:t>4.3 详细评审</w:t>
      </w:r>
    </w:p>
    <w:p>
      <w:pPr>
        <w:spacing w:line="360" w:lineRule="auto"/>
        <w:ind w:firstLine="480" w:firstLineChars="200"/>
        <w:rPr>
          <w:rFonts w:hint="eastAsia"/>
          <w:sz w:val="24"/>
          <w:szCs w:val="24"/>
        </w:rPr>
      </w:pPr>
      <w:r>
        <w:rPr>
          <w:rFonts w:hint="eastAsia"/>
          <w:sz w:val="24"/>
          <w:szCs w:val="24"/>
        </w:rPr>
        <w:t>只有通过初步评审才能够进入本阶段评审。</w:t>
      </w:r>
    </w:p>
    <w:p>
      <w:pPr>
        <w:spacing w:line="360" w:lineRule="auto"/>
        <w:rPr>
          <w:rFonts w:hint="eastAsia"/>
          <w:sz w:val="24"/>
          <w:szCs w:val="24"/>
        </w:rPr>
      </w:pPr>
      <w:r>
        <w:rPr>
          <w:rFonts w:hint="eastAsia"/>
          <w:sz w:val="24"/>
          <w:szCs w:val="24"/>
        </w:rPr>
        <w:t>4.3.1商务评审：</w:t>
      </w:r>
    </w:p>
    <w:p>
      <w:pPr>
        <w:spacing w:line="360" w:lineRule="auto"/>
        <w:rPr>
          <w:rFonts w:hint="eastAsia"/>
          <w:sz w:val="24"/>
          <w:szCs w:val="24"/>
        </w:rPr>
      </w:pPr>
      <w:r>
        <w:rPr>
          <w:rFonts w:hint="eastAsia"/>
          <w:sz w:val="24"/>
          <w:szCs w:val="24"/>
        </w:rPr>
        <w:t>（1）谈判小组发现供应商的竞谈报价明显低于其他竞谈报价，使得其响应报价可能低于其成本的，应当要求该供应商作出书面说明并提供相应的证明材料。供应商不能合理说明或者不能提供相应证明材料的，由谈判小组认定该供应商以低于成本报价竞标，其投标作无效标处理。</w:t>
      </w:r>
    </w:p>
    <w:p>
      <w:pPr>
        <w:spacing w:line="360" w:lineRule="auto"/>
        <w:rPr>
          <w:rFonts w:hint="eastAsia"/>
          <w:sz w:val="24"/>
          <w:szCs w:val="24"/>
        </w:rPr>
      </w:pPr>
      <w:r>
        <w:rPr>
          <w:rFonts w:hint="eastAsia"/>
          <w:sz w:val="24"/>
          <w:szCs w:val="24"/>
        </w:rPr>
        <w:t>（2）谈判小组审查响应文件，包括工程响应报价的校核、审查全部数据计算的正确性、分析各种费用构成的合理性和正确性等内容，看其是否有计算或表达上的错误：当响应文件中的大写金额与小写金额不一致的，以大写金额为准。调整或修正的价格经供应商书面确认后具有约束力。</w:t>
      </w:r>
    </w:p>
    <w:p>
      <w:pPr>
        <w:spacing w:line="360" w:lineRule="auto"/>
        <w:rPr>
          <w:rFonts w:hint="eastAsia"/>
          <w:sz w:val="24"/>
          <w:szCs w:val="24"/>
        </w:rPr>
      </w:pPr>
      <w:r>
        <w:rPr>
          <w:rFonts w:hint="eastAsia"/>
          <w:sz w:val="24"/>
          <w:szCs w:val="24"/>
        </w:rPr>
        <w:t>（3）响应报价</w:t>
      </w:r>
    </w:p>
    <w:p>
      <w:pPr>
        <w:spacing w:line="360" w:lineRule="auto"/>
        <w:rPr>
          <w:rFonts w:hint="eastAsia" w:ascii="宋体" w:hAnsi="宋体"/>
          <w:b/>
          <w:bCs/>
          <w:color w:val="000000" w:themeColor="text1"/>
          <w:lang w:eastAsia="zh-CN"/>
          <w14:textFill>
            <w14:solidFill>
              <w14:schemeClr w14:val="tx1"/>
            </w14:solidFill>
          </w14:textFill>
        </w:rPr>
      </w:pPr>
      <w:r>
        <w:rPr>
          <w:rFonts w:hint="eastAsia" w:ascii="宋体" w:hAnsi="宋体"/>
          <w:b/>
          <w:bCs/>
          <w:color w:val="000000" w:themeColor="text1"/>
          <w14:textFill>
            <w14:solidFill>
              <w14:schemeClr w14:val="tx1"/>
            </w14:solidFill>
          </w14:textFill>
        </w:rPr>
        <w:t>初始谈判后，谈判小组要求所有参加谈判的竞标人在规定的时间、地点内书面提出报价及有关承诺（填写《</w:t>
      </w:r>
      <w:r>
        <w:rPr>
          <w:rFonts w:hint="eastAsia" w:ascii="宋体" w:hAnsi="宋体"/>
          <w:b/>
          <w:bCs/>
          <w:color w:val="000000" w:themeColor="text1"/>
          <w:lang w:eastAsia="zh-CN"/>
          <w14:textFill>
            <w14:solidFill>
              <w14:schemeClr w14:val="tx1"/>
            </w14:solidFill>
          </w14:textFill>
        </w:rPr>
        <w:t>响应</w:t>
      </w:r>
      <w:r>
        <w:rPr>
          <w:rFonts w:hint="eastAsia" w:ascii="宋体" w:hAnsi="宋体"/>
          <w:b/>
          <w:bCs/>
          <w:color w:val="000000" w:themeColor="text1"/>
          <w14:textFill>
            <w14:solidFill>
              <w14:schemeClr w14:val="tx1"/>
            </w14:solidFill>
          </w14:textFill>
        </w:rPr>
        <w:t>报价表》），并据此确定成交供应商。超出规定时间、地点没有进行报价的竞标人，视为放弃报价，以其前一次报价为</w:t>
      </w:r>
      <w:r>
        <w:rPr>
          <w:rFonts w:hint="eastAsia" w:ascii="宋体" w:hAnsi="宋体"/>
          <w:b/>
          <w:bCs/>
          <w:color w:val="000000" w:themeColor="text1"/>
          <w:lang w:eastAsia="zh-CN"/>
          <w14:textFill>
            <w14:solidFill>
              <w14:schemeClr w14:val="tx1"/>
            </w14:solidFill>
          </w14:textFill>
        </w:rPr>
        <w:t>最后报价，</w:t>
      </w:r>
      <w:r>
        <w:rPr>
          <w:rFonts w:hint="eastAsia" w:ascii="宋体" w:hAnsi="宋体"/>
          <w:b/>
          <w:bCs/>
          <w:color w:val="000000" w:themeColor="text1"/>
          <w14:textFill>
            <w14:solidFill>
              <w14:schemeClr w14:val="tx1"/>
            </w14:solidFill>
          </w14:textFill>
        </w:rPr>
        <w:t>报价单位的第N+1轮各项报价应低于自已的第N轮各项报价</w:t>
      </w:r>
      <w:r>
        <w:rPr>
          <w:rFonts w:hint="eastAsia" w:ascii="宋体" w:hAnsi="宋体"/>
          <w:b/>
          <w:bCs/>
          <w:color w:val="000000" w:themeColor="text1"/>
          <w:lang w:eastAsia="zh-CN"/>
          <w14:textFill>
            <w14:solidFill>
              <w14:schemeClr w14:val="tx1"/>
            </w14:solidFill>
          </w14:textFill>
        </w:rPr>
        <w:t>，允许</w:t>
      </w:r>
      <w:r>
        <w:rPr>
          <w:rFonts w:hint="eastAsia" w:ascii="宋体" w:hAnsi="宋体"/>
          <w:b/>
          <w:bCs/>
          <w:color w:val="000000" w:themeColor="text1"/>
          <w:lang w:val="en-US" w:eastAsia="zh-CN"/>
          <w14:textFill>
            <w14:solidFill>
              <w14:schemeClr w14:val="tx1"/>
            </w14:solidFill>
          </w14:textFill>
        </w:rPr>
        <w:t>多轮</w:t>
      </w:r>
      <w:r>
        <w:rPr>
          <w:rFonts w:hint="eastAsia" w:ascii="宋体" w:hAnsi="宋体"/>
          <w:b/>
          <w:bCs/>
          <w:color w:val="000000" w:themeColor="text1"/>
          <w:lang w:eastAsia="zh-CN"/>
          <w14:textFill>
            <w14:solidFill>
              <w14:schemeClr w14:val="tx1"/>
            </w14:solidFill>
          </w14:textFill>
        </w:rPr>
        <w:t>竞价。</w:t>
      </w:r>
    </w:p>
    <w:p>
      <w:pPr>
        <w:spacing w:line="360" w:lineRule="auto"/>
        <w:rPr>
          <w:rFonts w:hint="eastAsia"/>
          <w:b/>
          <w:bCs/>
          <w:sz w:val="24"/>
          <w:szCs w:val="24"/>
        </w:rPr>
      </w:pPr>
      <w:r>
        <w:rPr>
          <w:rFonts w:hint="eastAsia"/>
          <w:b/>
          <w:bCs/>
          <w:sz w:val="24"/>
          <w:szCs w:val="24"/>
        </w:rPr>
        <w:t>4.4 推荐成交候选人：</w:t>
      </w:r>
    </w:p>
    <w:p>
      <w:pPr>
        <w:spacing w:line="360" w:lineRule="auto"/>
        <w:rPr>
          <w:rFonts w:hint="eastAsia"/>
          <w:sz w:val="24"/>
          <w:szCs w:val="24"/>
        </w:rPr>
      </w:pPr>
      <w:r>
        <w:rPr>
          <w:rFonts w:hint="eastAsia"/>
          <w:sz w:val="24"/>
          <w:szCs w:val="24"/>
        </w:rPr>
        <w:t>4.4.1经初步评审、详细评审后，按最终响应报价由低到高的次序推荐1名成交候选人。</w:t>
      </w:r>
    </w:p>
    <w:p>
      <w:pPr>
        <w:spacing w:line="360" w:lineRule="auto"/>
        <w:rPr>
          <w:rFonts w:hint="eastAsia"/>
          <w:sz w:val="24"/>
          <w:szCs w:val="24"/>
        </w:rPr>
      </w:pPr>
      <w:r>
        <w:rPr>
          <w:rFonts w:hint="eastAsia"/>
          <w:sz w:val="24"/>
          <w:szCs w:val="24"/>
        </w:rPr>
        <w:t>4.4.2若最终响应报价中最低价出现相同的情况时，则相同响应报价的供应商重新报价（每轮报价均须低于其上一轮报价，否则为无效报价）直至决出次序为止。</w:t>
      </w:r>
    </w:p>
    <w:p>
      <w:pPr>
        <w:spacing w:line="360" w:lineRule="auto"/>
        <w:rPr>
          <w:rFonts w:hint="eastAsia"/>
          <w:sz w:val="24"/>
          <w:szCs w:val="24"/>
        </w:rPr>
      </w:pPr>
      <w:r>
        <w:rPr>
          <w:rFonts w:hint="eastAsia"/>
          <w:sz w:val="24"/>
          <w:szCs w:val="24"/>
        </w:rPr>
        <w:t>4.4.3成交候选人接受社会监督，一经发现涉嫌伪造现象，将取消其成交资格，谈判保证金将予以没收。为便于对弄虚作假行为查实，更好的对成交人进行监督管理。</w:t>
      </w:r>
      <w:bookmarkStart w:id="354" w:name="_GoBack"/>
      <w:bookmarkEnd w:id="354"/>
    </w:p>
    <w:p>
      <w:pPr>
        <w:spacing w:line="360" w:lineRule="auto"/>
        <w:rPr>
          <w:rFonts w:hint="eastAsia"/>
          <w:b/>
          <w:bCs/>
          <w:sz w:val="24"/>
          <w:szCs w:val="24"/>
        </w:rPr>
      </w:pPr>
      <w:r>
        <w:rPr>
          <w:rFonts w:hint="eastAsia"/>
          <w:b/>
          <w:bCs/>
          <w:sz w:val="24"/>
          <w:szCs w:val="24"/>
        </w:rPr>
        <w:t>5.3 响应文件的澄清</w:t>
      </w:r>
      <w:bookmarkEnd w:id="255"/>
      <w:r>
        <w:rPr>
          <w:rFonts w:hint="eastAsia"/>
          <w:b/>
          <w:bCs/>
          <w:sz w:val="24"/>
          <w:szCs w:val="24"/>
        </w:rPr>
        <w:t>和补正</w:t>
      </w:r>
      <w:bookmarkEnd w:id="256"/>
      <w:bookmarkEnd w:id="257"/>
      <w:bookmarkEnd w:id="258"/>
      <w:bookmarkEnd w:id="259"/>
      <w:bookmarkEnd w:id="260"/>
      <w:bookmarkEnd w:id="261"/>
      <w:bookmarkEnd w:id="262"/>
    </w:p>
    <w:p>
      <w:pPr>
        <w:spacing w:line="360" w:lineRule="auto"/>
        <w:rPr>
          <w:rFonts w:hint="eastAsia"/>
          <w:sz w:val="24"/>
          <w:szCs w:val="24"/>
        </w:rPr>
      </w:pPr>
      <w:r>
        <w:rPr>
          <w:rFonts w:hint="eastAsia"/>
          <w:sz w:val="24"/>
          <w:szCs w:val="24"/>
        </w:rPr>
        <w:t>5.3.1在评审过程中，谈判小组应以书面形式要求供应商对所提交的响应文件中不明确的内容进行书面澄清或说明，或者对细微偏差进行补正。谈判小组不接受供应商主动提出的澄清、说明或补正。</w:t>
      </w:r>
    </w:p>
    <w:p>
      <w:pPr>
        <w:spacing w:line="360" w:lineRule="auto"/>
        <w:rPr>
          <w:rFonts w:hint="eastAsia"/>
          <w:sz w:val="24"/>
          <w:szCs w:val="24"/>
        </w:rPr>
      </w:pPr>
      <w:r>
        <w:rPr>
          <w:rFonts w:hint="eastAsia"/>
          <w:sz w:val="24"/>
          <w:szCs w:val="24"/>
        </w:rPr>
        <w:t>5.3.2 澄清、说明和补正不得改变响应文件的实质性内容。供应商的书面澄清、说明和补正属于响应文件的组成部分。</w:t>
      </w:r>
    </w:p>
    <w:p>
      <w:pPr>
        <w:spacing w:line="360" w:lineRule="auto"/>
        <w:rPr>
          <w:rFonts w:hint="eastAsia"/>
          <w:sz w:val="24"/>
          <w:szCs w:val="24"/>
        </w:rPr>
      </w:pPr>
      <w:r>
        <w:rPr>
          <w:rFonts w:hint="eastAsia"/>
          <w:sz w:val="24"/>
          <w:szCs w:val="24"/>
        </w:rPr>
        <w:t>5.3.3 谈判小组对供应商提交的澄清、说明或补正有疑问的，可以要求供应商进一步澄清、说明或补正，直至满足谈判小组的要求。</w:t>
      </w:r>
    </w:p>
    <w:p>
      <w:pPr>
        <w:spacing w:line="360" w:lineRule="auto"/>
        <w:rPr>
          <w:rFonts w:hint="eastAsia"/>
          <w:b/>
          <w:bCs/>
          <w:sz w:val="24"/>
          <w:szCs w:val="24"/>
        </w:rPr>
      </w:pPr>
      <w:bookmarkStart w:id="263" w:name="_Toc152045597"/>
      <w:bookmarkStart w:id="264" w:name="_Toc247085755"/>
      <w:bookmarkStart w:id="265" w:name="_Toc152042374"/>
      <w:bookmarkStart w:id="266" w:name="_Toc296602485"/>
      <w:bookmarkStart w:id="267" w:name="_Toc144974564"/>
      <w:bookmarkStart w:id="268" w:name="_Toc246996240"/>
      <w:bookmarkStart w:id="269" w:name="_Toc179632615"/>
      <w:bookmarkStart w:id="270" w:name="_Toc246996983"/>
      <w:r>
        <w:rPr>
          <w:rFonts w:hint="eastAsia"/>
          <w:b/>
          <w:bCs/>
          <w:sz w:val="24"/>
          <w:szCs w:val="24"/>
        </w:rPr>
        <w:t>5.4 评审结果</w:t>
      </w:r>
      <w:bookmarkEnd w:id="263"/>
      <w:bookmarkEnd w:id="264"/>
      <w:bookmarkEnd w:id="265"/>
      <w:bookmarkEnd w:id="266"/>
      <w:bookmarkEnd w:id="267"/>
      <w:bookmarkEnd w:id="268"/>
      <w:bookmarkEnd w:id="269"/>
      <w:bookmarkEnd w:id="270"/>
    </w:p>
    <w:p>
      <w:pPr>
        <w:spacing w:line="360" w:lineRule="auto"/>
        <w:rPr>
          <w:rFonts w:hint="eastAsia"/>
          <w:sz w:val="24"/>
          <w:szCs w:val="24"/>
        </w:rPr>
      </w:pPr>
      <w:r>
        <w:rPr>
          <w:rFonts w:hint="eastAsia"/>
          <w:sz w:val="24"/>
          <w:szCs w:val="24"/>
        </w:rPr>
        <w:t>5.4.1除第二章“供应商须知”前附表授权直接确定成交人外，谈判小组按照评审结果推荐 1名成交候选人，并标明排列顺序。</w:t>
      </w:r>
    </w:p>
    <w:p>
      <w:pPr>
        <w:spacing w:line="360" w:lineRule="auto"/>
        <w:rPr>
          <w:rFonts w:hint="eastAsia"/>
          <w:sz w:val="24"/>
          <w:szCs w:val="24"/>
        </w:rPr>
      </w:pPr>
      <w:r>
        <w:rPr>
          <w:rFonts w:hint="eastAsia"/>
          <w:sz w:val="24"/>
          <w:szCs w:val="24"/>
        </w:rPr>
        <w:t>5.4.2 谈判小组完成评审后，应当向采购人提交书面评审报告。</w:t>
      </w:r>
    </w:p>
    <w:p>
      <w:pPr>
        <w:spacing w:line="360" w:lineRule="auto"/>
        <w:rPr>
          <w:rFonts w:hint="eastAsia"/>
          <w:sz w:val="24"/>
          <w:szCs w:val="24"/>
        </w:rPr>
      </w:pPr>
      <w:r>
        <w:rPr>
          <w:rFonts w:hint="eastAsia"/>
          <w:sz w:val="24"/>
          <w:szCs w:val="24"/>
        </w:rPr>
        <w:t>5.4.3依法必须进行采购的项目，采购人应当确定排名第一的成交候选人为成交人。排名第一的成交候选人放弃中标、因不可抗力提出不能履行合同，采购人可以确定排名第二的成交候选人为成交人,依次类推;或重新采购。</w:t>
      </w:r>
    </w:p>
    <w:p>
      <w:pPr>
        <w:spacing w:line="360" w:lineRule="auto"/>
        <w:rPr>
          <w:rFonts w:hint="eastAsia"/>
          <w:b/>
          <w:bCs/>
          <w:sz w:val="24"/>
          <w:szCs w:val="24"/>
        </w:rPr>
      </w:pPr>
      <w:bookmarkStart w:id="271" w:name="_Toc24572"/>
      <w:bookmarkStart w:id="272" w:name="_Toc30211"/>
      <w:bookmarkStart w:id="273" w:name="_Toc465933790"/>
      <w:bookmarkStart w:id="274" w:name="_Toc338395650"/>
      <w:bookmarkStart w:id="275" w:name="_Toc335122775"/>
      <w:bookmarkStart w:id="276" w:name="_Toc29145254"/>
      <w:r>
        <w:rPr>
          <w:rFonts w:hint="eastAsia"/>
          <w:b/>
          <w:bCs/>
          <w:sz w:val="24"/>
          <w:szCs w:val="24"/>
        </w:rPr>
        <w:t>6. 适用范围</w:t>
      </w:r>
      <w:bookmarkEnd w:id="271"/>
      <w:bookmarkEnd w:id="272"/>
      <w:bookmarkEnd w:id="273"/>
      <w:bookmarkEnd w:id="274"/>
      <w:bookmarkEnd w:id="275"/>
      <w:bookmarkEnd w:id="276"/>
    </w:p>
    <w:p>
      <w:pPr>
        <w:spacing w:line="360" w:lineRule="auto"/>
        <w:rPr>
          <w:rFonts w:hint="eastAsia"/>
          <w:b/>
          <w:sz w:val="24"/>
          <w:szCs w:val="24"/>
        </w:rPr>
      </w:pPr>
      <w:r>
        <w:rPr>
          <w:rFonts w:hint="eastAsia"/>
          <w:sz w:val="24"/>
          <w:szCs w:val="24"/>
        </w:rPr>
        <w:t>适用于本项目。</w:t>
      </w:r>
    </w:p>
    <w:p>
      <w:pPr>
        <w:spacing w:line="360" w:lineRule="auto"/>
        <w:jc w:val="center"/>
        <w:outlineLvl w:val="0"/>
        <w:rPr>
          <w:rStyle w:val="18"/>
          <w:rFonts w:hint="eastAsia" w:ascii="黑体" w:hAnsi="黑体" w:eastAsia="黑体" w:cs="黑体"/>
        </w:rPr>
      </w:pPr>
      <w:bookmarkStart w:id="277" w:name="_Toc523399849"/>
      <w:bookmarkStart w:id="278" w:name="_Toc523400018"/>
      <w:bookmarkStart w:id="279" w:name="_Toc523399751"/>
    </w:p>
    <w:p>
      <w:pPr>
        <w:spacing w:line="360" w:lineRule="auto"/>
        <w:jc w:val="center"/>
        <w:outlineLvl w:val="0"/>
        <w:rPr>
          <w:rStyle w:val="18"/>
          <w:rFonts w:hint="eastAsia" w:ascii="黑体" w:hAnsi="黑体" w:eastAsia="黑体" w:cs="黑体"/>
        </w:rPr>
      </w:pPr>
    </w:p>
    <w:p>
      <w:pPr>
        <w:spacing w:line="360" w:lineRule="auto"/>
        <w:jc w:val="center"/>
        <w:outlineLvl w:val="0"/>
        <w:rPr>
          <w:rStyle w:val="18"/>
          <w:rFonts w:hint="eastAsia" w:ascii="黑体" w:hAnsi="黑体" w:eastAsia="黑体" w:cs="黑体"/>
        </w:rPr>
      </w:pPr>
    </w:p>
    <w:p>
      <w:pPr>
        <w:spacing w:line="360" w:lineRule="auto"/>
        <w:jc w:val="center"/>
        <w:outlineLvl w:val="0"/>
        <w:rPr>
          <w:rStyle w:val="18"/>
          <w:rFonts w:hint="eastAsia" w:ascii="黑体" w:hAnsi="黑体" w:eastAsia="黑体" w:cs="黑体"/>
        </w:rPr>
      </w:pPr>
    </w:p>
    <w:p>
      <w:pPr>
        <w:spacing w:line="360" w:lineRule="auto"/>
        <w:jc w:val="both"/>
        <w:outlineLvl w:val="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15"/>
        <w:ind w:left="0" w:leftChars="0" w:firstLine="0" w:firstLineChars="0"/>
        <w:rPr>
          <w:rStyle w:val="18"/>
          <w:rFonts w:hint="eastAsia" w:ascii="黑体" w:hAnsi="黑体" w:eastAsia="黑体" w:cs="黑体"/>
        </w:rPr>
      </w:pPr>
    </w:p>
    <w:p>
      <w:pPr>
        <w:pStyle w:val="2"/>
        <w:jc w:val="both"/>
        <w:rPr>
          <w:rFonts w:hint="eastAsia"/>
          <w:sz w:val="40"/>
          <w:szCs w:val="20"/>
        </w:rPr>
      </w:pPr>
      <w:bookmarkStart w:id="280" w:name="_Toc29507"/>
    </w:p>
    <w:p>
      <w:pPr>
        <w:pStyle w:val="2"/>
        <w:jc w:val="center"/>
        <w:rPr>
          <w:rFonts w:hint="eastAsia"/>
          <w:sz w:val="40"/>
          <w:szCs w:val="20"/>
        </w:rPr>
      </w:pPr>
      <w:r>
        <w:rPr>
          <w:rFonts w:hint="eastAsia"/>
          <w:sz w:val="40"/>
          <w:szCs w:val="20"/>
        </w:rPr>
        <w:t>第四章  合同条款及格式</w:t>
      </w:r>
      <w:bookmarkEnd w:id="277"/>
      <w:bookmarkEnd w:id="278"/>
      <w:bookmarkEnd w:id="279"/>
      <w:bookmarkEnd w:id="280"/>
      <w:bookmarkStart w:id="281" w:name="_Toc179632789"/>
      <w:bookmarkStart w:id="282" w:name="_Toc246996340"/>
      <w:bookmarkStart w:id="283" w:name="_Toc523399752"/>
      <w:bookmarkStart w:id="284" w:name="_Toc26620"/>
      <w:bookmarkStart w:id="285" w:name="_Toc152045772"/>
      <w:bookmarkStart w:id="286" w:name="_Toc368985791"/>
      <w:bookmarkStart w:id="287" w:name="_Toc6085"/>
      <w:bookmarkStart w:id="288" w:name="_Toc246997083"/>
      <w:bookmarkStart w:id="289" w:name="_Toc247085855"/>
      <w:bookmarkStart w:id="290" w:name="_Toc523400019"/>
      <w:bookmarkStart w:id="291" w:name="_Toc523399850"/>
      <w:bookmarkStart w:id="292" w:name="_Toc296602587"/>
      <w:bookmarkStart w:id="293" w:name="_Toc144974834"/>
      <w:bookmarkStart w:id="294" w:name="_Toc152042554"/>
      <w:bookmarkStart w:id="295" w:name="_Toc296602590"/>
      <w:bookmarkStart w:id="296" w:name="_Toc152042557"/>
      <w:bookmarkStart w:id="297" w:name="_Toc144974837"/>
      <w:bookmarkStart w:id="298" w:name="_Toc152045775"/>
    </w:p>
    <w:p>
      <w:pPr>
        <w:pStyle w:val="15"/>
        <w:ind w:left="0" w:leftChars="0" w:firstLine="0" w:firstLineChars="0"/>
        <w:jc w:val="center"/>
        <w:rPr>
          <w:rFonts w:hint="eastAsia"/>
          <w:sz w:val="36"/>
          <w:szCs w:val="44"/>
          <w:lang w:val="en-US" w:eastAsia="zh-CN"/>
        </w:rPr>
      </w:pPr>
      <w:r>
        <w:rPr>
          <w:rFonts w:hint="eastAsia"/>
          <w:sz w:val="36"/>
          <w:szCs w:val="44"/>
          <w:lang w:val="en-US" w:eastAsia="zh-CN"/>
        </w:rPr>
        <w:t>阜南县建筑工程质量建筑材料检测中心新增设备项目</w:t>
      </w:r>
    </w:p>
    <w:p>
      <w:pPr>
        <w:pStyle w:val="15"/>
        <w:ind w:left="0" w:leftChars="0" w:firstLine="0" w:firstLineChars="0"/>
        <w:jc w:val="center"/>
        <w:rPr>
          <w:rFonts w:hint="eastAsia"/>
          <w:sz w:val="40"/>
          <w:szCs w:val="48"/>
          <w:lang w:val="en-US" w:eastAsia="zh-CN"/>
        </w:rPr>
      </w:pPr>
    </w:p>
    <w:p>
      <w:pPr>
        <w:pStyle w:val="15"/>
        <w:ind w:left="0" w:leftChars="0" w:firstLine="0" w:firstLineChars="0"/>
        <w:jc w:val="center"/>
        <w:rPr>
          <w:rFonts w:hint="eastAsia"/>
          <w:sz w:val="40"/>
          <w:szCs w:val="48"/>
          <w:lang w:val="en-US" w:eastAsia="zh-CN"/>
        </w:rPr>
      </w:pPr>
    </w:p>
    <w:p>
      <w:pPr>
        <w:pStyle w:val="15"/>
        <w:ind w:left="0" w:leftChars="0" w:firstLine="0" w:firstLineChars="0"/>
        <w:jc w:val="center"/>
        <w:rPr>
          <w:rFonts w:hint="eastAsia"/>
          <w:sz w:val="40"/>
          <w:szCs w:val="48"/>
          <w:lang w:val="en-US" w:eastAsia="zh-CN"/>
        </w:rPr>
      </w:pPr>
    </w:p>
    <w:p>
      <w:pPr>
        <w:pStyle w:val="15"/>
        <w:ind w:left="0" w:leftChars="0" w:firstLine="0" w:firstLineChars="0"/>
        <w:jc w:val="center"/>
        <w:rPr>
          <w:rFonts w:hint="eastAsia"/>
          <w:sz w:val="56"/>
          <w:szCs w:val="96"/>
          <w:lang w:val="en-US" w:eastAsia="zh-CN"/>
        </w:rPr>
      </w:pPr>
      <w:r>
        <w:rPr>
          <w:rFonts w:hint="eastAsia"/>
          <w:sz w:val="56"/>
          <w:szCs w:val="96"/>
          <w:lang w:val="en-US" w:eastAsia="zh-CN"/>
        </w:rPr>
        <w:t>采</w:t>
      </w:r>
    </w:p>
    <w:p>
      <w:pPr>
        <w:pStyle w:val="15"/>
        <w:ind w:left="0" w:leftChars="0" w:firstLine="0" w:firstLineChars="0"/>
        <w:jc w:val="center"/>
        <w:rPr>
          <w:rFonts w:hint="eastAsia"/>
          <w:sz w:val="56"/>
          <w:szCs w:val="96"/>
          <w:lang w:val="en-US" w:eastAsia="zh-CN"/>
        </w:rPr>
      </w:pPr>
      <w:r>
        <w:rPr>
          <w:rFonts w:hint="eastAsia"/>
          <w:sz w:val="56"/>
          <w:szCs w:val="96"/>
          <w:lang w:val="en-US" w:eastAsia="zh-CN"/>
        </w:rPr>
        <w:t>购</w:t>
      </w:r>
    </w:p>
    <w:p>
      <w:pPr>
        <w:pStyle w:val="15"/>
        <w:ind w:left="0" w:leftChars="0" w:firstLine="0" w:firstLineChars="0"/>
        <w:jc w:val="center"/>
        <w:rPr>
          <w:rFonts w:hint="eastAsia"/>
          <w:sz w:val="56"/>
          <w:szCs w:val="96"/>
          <w:lang w:val="en-US" w:eastAsia="zh-CN"/>
        </w:rPr>
      </w:pPr>
      <w:r>
        <w:rPr>
          <w:rFonts w:hint="eastAsia"/>
          <w:sz w:val="56"/>
          <w:szCs w:val="96"/>
          <w:lang w:val="en-US" w:eastAsia="zh-CN"/>
        </w:rPr>
        <w:t>合</w:t>
      </w:r>
    </w:p>
    <w:p>
      <w:pPr>
        <w:pStyle w:val="15"/>
        <w:ind w:left="0" w:leftChars="0" w:firstLine="0" w:firstLineChars="0"/>
        <w:jc w:val="center"/>
        <w:rPr>
          <w:rFonts w:hint="eastAsia"/>
          <w:sz w:val="56"/>
          <w:szCs w:val="96"/>
          <w:lang w:val="en-US" w:eastAsia="zh-CN"/>
        </w:rPr>
      </w:pPr>
      <w:r>
        <w:rPr>
          <w:rFonts w:hint="eastAsia"/>
          <w:sz w:val="56"/>
          <w:szCs w:val="96"/>
          <w:lang w:val="en-US" w:eastAsia="zh-CN"/>
        </w:rPr>
        <w:t>同</w:t>
      </w:r>
    </w:p>
    <w:p>
      <w:pPr>
        <w:pStyle w:val="15"/>
        <w:ind w:left="0" w:leftChars="0" w:firstLine="0" w:firstLineChars="0"/>
        <w:jc w:val="center"/>
        <w:rPr>
          <w:rFonts w:hint="eastAsia"/>
          <w:sz w:val="56"/>
          <w:szCs w:val="96"/>
          <w:lang w:val="en-US" w:eastAsia="zh-CN"/>
        </w:rPr>
      </w:pPr>
    </w:p>
    <w:p>
      <w:pPr>
        <w:pStyle w:val="15"/>
        <w:ind w:left="0" w:leftChars="0" w:firstLine="0" w:firstLineChars="0"/>
        <w:jc w:val="center"/>
        <w:rPr>
          <w:rFonts w:hint="eastAsia"/>
          <w:sz w:val="56"/>
          <w:szCs w:val="96"/>
          <w:lang w:val="en-US" w:eastAsia="zh-CN"/>
        </w:rPr>
      </w:pPr>
    </w:p>
    <w:p>
      <w:pPr>
        <w:pStyle w:val="15"/>
        <w:ind w:left="0" w:leftChars="0" w:firstLine="0" w:firstLineChars="0"/>
        <w:jc w:val="both"/>
        <w:rPr>
          <w:rFonts w:hint="eastAsia"/>
          <w:sz w:val="56"/>
          <w:szCs w:val="96"/>
          <w:lang w:val="en-US" w:eastAsia="zh-CN"/>
        </w:rPr>
      </w:pPr>
    </w:p>
    <w:p>
      <w:pPr>
        <w:pStyle w:val="15"/>
        <w:ind w:left="0" w:leftChars="0" w:firstLine="0" w:firstLineChars="0"/>
        <w:jc w:val="left"/>
        <w:rPr>
          <w:rFonts w:hint="eastAsia"/>
          <w:sz w:val="36"/>
          <w:szCs w:val="44"/>
          <w:lang w:val="en-US" w:eastAsia="zh-CN"/>
        </w:rPr>
      </w:pPr>
      <w:r>
        <w:rPr>
          <w:rFonts w:hint="eastAsia"/>
          <w:sz w:val="36"/>
          <w:szCs w:val="44"/>
          <w:lang w:val="en-US" w:eastAsia="zh-CN"/>
        </w:rPr>
        <w:t>采购人（甲方）：</w:t>
      </w:r>
    </w:p>
    <w:p>
      <w:pPr>
        <w:pStyle w:val="15"/>
        <w:ind w:left="0" w:leftChars="0" w:firstLine="0" w:firstLineChars="0"/>
        <w:jc w:val="left"/>
        <w:rPr>
          <w:rFonts w:hint="eastAsia" w:ascii="宋体" w:hAnsi="宋体" w:cs="宋体"/>
          <w:sz w:val="24"/>
          <w:szCs w:val="24"/>
        </w:rPr>
      </w:pPr>
      <w:r>
        <w:rPr>
          <w:rFonts w:hint="eastAsia"/>
          <w:sz w:val="36"/>
          <w:szCs w:val="44"/>
          <w:lang w:val="en-US" w:eastAsia="zh-CN"/>
        </w:rPr>
        <w:t>供货人（乙方）：</w:t>
      </w:r>
    </w:p>
    <w:p>
      <w:pPr>
        <w:spacing w:line="240" w:lineRule="auto"/>
        <w:rPr>
          <w:rFonts w:hint="eastAsia" w:ascii="宋体" w:hAnsi="宋体" w:eastAsia="宋体" w:cs="宋体"/>
          <w:b/>
          <w:bCs/>
          <w:sz w:val="28"/>
          <w:szCs w:val="28"/>
          <w:u w:val="single"/>
          <w:lang w:eastAsia="zh-CN"/>
        </w:rPr>
      </w:pPr>
      <w:r>
        <w:rPr>
          <w:rFonts w:hint="eastAsia" w:ascii="宋体" w:hAnsi="宋体" w:cs="宋体"/>
          <w:b/>
          <w:bCs/>
          <w:sz w:val="28"/>
          <w:szCs w:val="28"/>
        </w:rPr>
        <w:t>采购人（甲方）：</w:t>
      </w:r>
    </w:p>
    <w:p>
      <w:pPr>
        <w:spacing w:line="240" w:lineRule="auto"/>
        <w:rPr>
          <w:rFonts w:hint="eastAsia" w:ascii="宋体" w:hAnsi="宋体" w:eastAsia="宋体" w:cs="宋体"/>
          <w:b/>
          <w:bCs/>
          <w:sz w:val="28"/>
          <w:szCs w:val="28"/>
          <w:u w:val="single"/>
          <w:lang w:eastAsia="zh-CN"/>
        </w:rPr>
      </w:pPr>
      <w:r>
        <w:rPr>
          <w:rFonts w:hint="eastAsia" w:ascii="宋体" w:hAnsi="宋体" w:cs="宋体"/>
          <w:b/>
          <w:bCs/>
          <w:sz w:val="28"/>
          <w:szCs w:val="28"/>
        </w:rPr>
        <w:t>供货人（乙方）：</w:t>
      </w:r>
    </w:p>
    <w:p>
      <w:pPr>
        <w:spacing w:line="240" w:lineRule="auto"/>
        <w:rPr>
          <w:rFonts w:ascii="宋体" w:hAnsi="宋体" w:cs="宋体"/>
          <w:sz w:val="28"/>
          <w:szCs w:val="28"/>
          <w:u w:val="single"/>
        </w:rPr>
      </w:pPr>
      <w:r>
        <w:rPr>
          <w:rFonts w:hint="eastAsia" w:ascii="宋体" w:hAnsi="宋体" w:cs="宋体"/>
          <w:sz w:val="28"/>
          <w:szCs w:val="28"/>
        </w:rPr>
        <w:t>签订地点：</w:t>
      </w:r>
    </w:p>
    <w:p>
      <w:pPr>
        <w:spacing w:line="240" w:lineRule="auto"/>
        <w:rPr>
          <w:rFonts w:ascii="宋体" w:hAnsi="宋体" w:cs="宋体"/>
          <w:sz w:val="28"/>
          <w:szCs w:val="28"/>
        </w:rPr>
      </w:pPr>
      <w:r>
        <w:rPr>
          <w:rFonts w:hint="eastAsia" w:ascii="宋体" w:hAnsi="宋体" w:cs="宋体"/>
          <w:sz w:val="28"/>
          <w:szCs w:val="28"/>
        </w:rPr>
        <w:t>项目名称：</w:t>
      </w:r>
    </w:p>
    <w:p>
      <w:pPr>
        <w:spacing w:line="240" w:lineRule="auto"/>
        <w:ind w:firstLine="560" w:firstLineChars="200"/>
        <w:rPr>
          <w:rFonts w:ascii="宋体" w:hAnsi="宋体" w:cs="宋体"/>
          <w:sz w:val="28"/>
          <w:szCs w:val="28"/>
        </w:rPr>
      </w:pPr>
      <w:r>
        <w:rPr>
          <w:rFonts w:hint="eastAsia" w:ascii="宋体" w:hAnsi="宋体" w:cs="宋体"/>
          <w:sz w:val="28"/>
          <w:szCs w:val="28"/>
        </w:rPr>
        <w:t>本项目根据《中华人民共和国合同法》之规定，经甲乙双方充分协商，特订立本合同，以便共同遵守。</w:t>
      </w:r>
    </w:p>
    <w:p>
      <w:pPr>
        <w:spacing w:line="240" w:lineRule="auto"/>
        <w:rPr>
          <w:rFonts w:ascii="宋体" w:hAnsi="宋体" w:cs="宋体"/>
          <w:sz w:val="28"/>
          <w:szCs w:val="28"/>
        </w:rPr>
      </w:pPr>
      <w:r>
        <w:rPr>
          <w:rFonts w:hint="eastAsia" w:ascii="宋体" w:hAnsi="宋体" w:cs="宋体"/>
          <w:sz w:val="28"/>
          <w:szCs w:val="28"/>
        </w:rPr>
        <w:t>第一条    产品的名称、规格、数量和价格</w:t>
      </w:r>
    </w:p>
    <w:tbl>
      <w:tblPr>
        <w:tblStyle w:val="16"/>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1560"/>
        <w:gridCol w:w="660"/>
        <w:gridCol w:w="758"/>
        <w:gridCol w:w="1297"/>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5"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产品名称</w:t>
            </w:r>
          </w:p>
        </w:tc>
        <w:tc>
          <w:tcPr>
            <w:tcW w:w="1560"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规格型号</w:t>
            </w:r>
          </w:p>
        </w:tc>
        <w:tc>
          <w:tcPr>
            <w:tcW w:w="660"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单位</w:t>
            </w:r>
          </w:p>
        </w:tc>
        <w:tc>
          <w:tcPr>
            <w:tcW w:w="758"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数量</w:t>
            </w:r>
          </w:p>
        </w:tc>
        <w:tc>
          <w:tcPr>
            <w:tcW w:w="1297" w:type="dxa"/>
            <w:noWrap w:val="0"/>
            <w:vAlign w:val="top"/>
          </w:tcPr>
          <w:p>
            <w:pPr>
              <w:spacing w:line="240" w:lineRule="auto"/>
              <w:jc w:val="center"/>
              <w:rPr>
                <w:rFonts w:hint="eastAsia" w:ascii="宋体" w:hAnsi="宋体" w:eastAsia="宋体" w:cs="宋体"/>
                <w:sz w:val="28"/>
                <w:szCs w:val="28"/>
                <w:lang w:eastAsia="zh-CN"/>
              </w:rPr>
            </w:pPr>
            <w:r>
              <w:rPr>
                <w:rFonts w:hint="eastAsia" w:ascii="宋体" w:hAnsi="宋体" w:cs="宋体"/>
                <w:sz w:val="28"/>
                <w:szCs w:val="28"/>
              </w:rPr>
              <w:t>单价</w:t>
            </w:r>
            <w:r>
              <w:rPr>
                <w:rFonts w:hint="eastAsia" w:ascii="宋体" w:hAnsi="宋体" w:cs="宋体"/>
                <w:sz w:val="28"/>
                <w:szCs w:val="28"/>
                <w:lang w:eastAsia="zh-CN"/>
              </w:rPr>
              <w:t>（元）</w:t>
            </w:r>
          </w:p>
        </w:tc>
        <w:tc>
          <w:tcPr>
            <w:tcW w:w="1454"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小计</w:t>
            </w:r>
            <w:r>
              <w:rPr>
                <w:rFonts w:hint="eastAsia" w:ascii="宋体" w:hAnsi="宋体" w:cs="宋体"/>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35" w:type="dxa"/>
            <w:noWrap w:val="0"/>
            <w:vAlign w:val="top"/>
          </w:tcPr>
          <w:p>
            <w:pPr>
              <w:spacing w:line="240" w:lineRule="auto"/>
              <w:rPr>
                <w:rFonts w:ascii="宋体" w:hAnsi="宋体" w:cs="宋体"/>
                <w:sz w:val="28"/>
                <w:szCs w:val="28"/>
              </w:rPr>
            </w:pPr>
          </w:p>
        </w:tc>
        <w:tc>
          <w:tcPr>
            <w:tcW w:w="15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lang w:eastAsia="zh-CN"/>
              </w:rPr>
            </w:pPr>
          </w:p>
        </w:tc>
        <w:tc>
          <w:tcPr>
            <w:tcW w:w="660" w:type="dxa"/>
            <w:noWrap w:val="0"/>
            <w:vAlign w:val="top"/>
          </w:tcPr>
          <w:p>
            <w:pPr>
              <w:spacing w:line="240" w:lineRule="auto"/>
              <w:jc w:val="both"/>
              <w:rPr>
                <w:rFonts w:hint="default" w:ascii="宋体" w:hAnsi="宋体" w:eastAsia="宋体" w:cs="宋体"/>
                <w:sz w:val="28"/>
                <w:szCs w:val="28"/>
                <w:lang w:val="en-US" w:eastAsia="zh-CN"/>
              </w:rPr>
            </w:pPr>
          </w:p>
        </w:tc>
        <w:tc>
          <w:tcPr>
            <w:tcW w:w="758" w:type="dxa"/>
            <w:noWrap w:val="0"/>
            <w:vAlign w:val="top"/>
          </w:tcPr>
          <w:p>
            <w:pPr>
              <w:spacing w:line="240" w:lineRule="auto"/>
              <w:jc w:val="both"/>
              <w:rPr>
                <w:rFonts w:hint="default" w:ascii="宋体" w:hAnsi="宋体" w:eastAsia="宋体" w:cs="宋体"/>
                <w:sz w:val="28"/>
                <w:szCs w:val="28"/>
                <w:lang w:val="en-US" w:eastAsia="zh-CN"/>
              </w:rPr>
            </w:pPr>
          </w:p>
        </w:tc>
        <w:tc>
          <w:tcPr>
            <w:tcW w:w="1297" w:type="dxa"/>
            <w:noWrap w:val="0"/>
            <w:vAlign w:val="top"/>
          </w:tcPr>
          <w:p>
            <w:pPr>
              <w:spacing w:line="240" w:lineRule="auto"/>
              <w:jc w:val="both"/>
              <w:rPr>
                <w:rFonts w:hint="default" w:ascii="宋体" w:hAnsi="宋体" w:eastAsia="宋体" w:cs="宋体"/>
                <w:sz w:val="28"/>
                <w:szCs w:val="28"/>
                <w:lang w:val="en-US" w:eastAsia="zh-CN"/>
              </w:rPr>
            </w:pPr>
          </w:p>
        </w:tc>
        <w:tc>
          <w:tcPr>
            <w:tcW w:w="1454" w:type="dxa"/>
            <w:noWrap w:val="0"/>
            <w:vAlign w:val="top"/>
          </w:tcPr>
          <w:p>
            <w:pPr>
              <w:spacing w:line="240" w:lineRule="auto"/>
              <w:jc w:val="both"/>
              <w:rPr>
                <w:rFonts w:hint="default"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5" w:type="dxa"/>
            <w:noWrap w:val="0"/>
            <w:vAlign w:val="top"/>
          </w:tcPr>
          <w:p>
            <w:pPr>
              <w:spacing w:line="240" w:lineRule="auto"/>
              <w:rPr>
                <w:rFonts w:ascii="宋体" w:hAnsi="宋体" w:cs="宋体"/>
                <w:sz w:val="28"/>
                <w:szCs w:val="28"/>
              </w:rPr>
            </w:pPr>
          </w:p>
        </w:tc>
        <w:tc>
          <w:tcPr>
            <w:tcW w:w="1560" w:type="dxa"/>
            <w:noWrap w:val="0"/>
            <w:vAlign w:val="top"/>
          </w:tcPr>
          <w:p>
            <w:pPr>
              <w:spacing w:line="240" w:lineRule="auto"/>
              <w:rPr>
                <w:rFonts w:ascii="宋体" w:hAnsi="宋体" w:cs="宋体"/>
                <w:sz w:val="28"/>
                <w:szCs w:val="28"/>
              </w:rPr>
            </w:pPr>
          </w:p>
        </w:tc>
        <w:tc>
          <w:tcPr>
            <w:tcW w:w="660" w:type="dxa"/>
            <w:noWrap w:val="0"/>
            <w:vAlign w:val="top"/>
          </w:tcPr>
          <w:p>
            <w:pPr>
              <w:spacing w:line="240" w:lineRule="auto"/>
              <w:rPr>
                <w:rFonts w:ascii="宋体" w:hAnsi="宋体" w:cs="宋体"/>
                <w:sz w:val="28"/>
                <w:szCs w:val="28"/>
              </w:rPr>
            </w:pPr>
          </w:p>
        </w:tc>
        <w:tc>
          <w:tcPr>
            <w:tcW w:w="758" w:type="dxa"/>
            <w:noWrap w:val="0"/>
            <w:vAlign w:val="top"/>
          </w:tcPr>
          <w:p>
            <w:pPr>
              <w:spacing w:line="240" w:lineRule="auto"/>
              <w:rPr>
                <w:rFonts w:ascii="宋体" w:hAnsi="宋体" w:cs="宋体"/>
                <w:sz w:val="28"/>
                <w:szCs w:val="28"/>
              </w:rPr>
            </w:pPr>
          </w:p>
        </w:tc>
        <w:tc>
          <w:tcPr>
            <w:tcW w:w="1297" w:type="dxa"/>
            <w:noWrap w:val="0"/>
            <w:vAlign w:val="top"/>
          </w:tcPr>
          <w:p>
            <w:pPr>
              <w:spacing w:line="240" w:lineRule="auto"/>
              <w:rPr>
                <w:rFonts w:ascii="宋体" w:hAnsi="宋体" w:cs="宋体"/>
                <w:sz w:val="28"/>
                <w:szCs w:val="28"/>
              </w:rPr>
            </w:pPr>
          </w:p>
        </w:tc>
        <w:tc>
          <w:tcPr>
            <w:tcW w:w="1454" w:type="dxa"/>
            <w:noWrap w:val="0"/>
            <w:vAlign w:val="top"/>
          </w:tcPr>
          <w:p>
            <w:pPr>
              <w:spacing w:line="24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5" w:type="dxa"/>
            <w:noWrap w:val="0"/>
            <w:vAlign w:val="top"/>
          </w:tcPr>
          <w:p>
            <w:pPr>
              <w:spacing w:line="240" w:lineRule="auto"/>
              <w:jc w:val="center"/>
              <w:rPr>
                <w:rFonts w:ascii="宋体" w:hAnsi="宋体" w:cs="宋体"/>
                <w:sz w:val="28"/>
                <w:szCs w:val="28"/>
              </w:rPr>
            </w:pPr>
            <w:r>
              <w:rPr>
                <w:rFonts w:hint="eastAsia" w:ascii="宋体" w:hAnsi="宋体" w:cs="宋体"/>
                <w:sz w:val="28"/>
                <w:szCs w:val="28"/>
              </w:rPr>
              <w:t>总合计</w:t>
            </w:r>
          </w:p>
        </w:tc>
        <w:tc>
          <w:tcPr>
            <w:tcW w:w="5729" w:type="dxa"/>
            <w:gridSpan w:val="5"/>
            <w:noWrap w:val="0"/>
            <w:vAlign w:val="top"/>
          </w:tcPr>
          <w:p>
            <w:pPr>
              <w:spacing w:line="240" w:lineRule="auto"/>
              <w:jc w:val="center"/>
              <w:rPr>
                <w:rFonts w:ascii="宋体" w:hAnsi="宋体" w:cs="宋体"/>
                <w:sz w:val="28"/>
                <w:szCs w:val="28"/>
              </w:rPr>
            </w:pPr>
            <w:r>
              <w:rPr>
                <w:rFonts w:hint="eastAsia" w:ascii="宋体" w:hAnsi="宋体" w:cs="宋体"/>
                <w:sz w:val="28"/>
                <w:szCs w:val="28"/>
                <w:u w:val="none"/>
              </w:rPr>
              <w:t>大写：</w:t>
            </w:r>
            <w:r>
              <w:rPr>
                <w:rFonts w:hint="eastAsia" w:ascii="宋体" w:hAnsi="宋体" w:cs="宋体"/>
                <w:sz w:val="28"/>
                <w:szCs w:val="28"/>
                <w:u w:val="single"/>
                <w:lang w:val="en-US" w:eastAsia="zh-CN"/>
              </w:rPr>
              <w:t xml:space="preserve">     （小写：     ）</w:t>
            </w:r>
          </w:p>
        </w:tc>
      </w:tr>
    </w:tbl>
    <w:p>
      <w:pPr>
        <w:spacing w:line="240" w:lineRule="auto"/>
        <w:rPr>
          <w:rFonts w:hint="eastAsia" w:ascii="宋体" w:hAnsi="宋体" w:cs="宋体"/>
          <w:b/>
          <w:bCs/>
          <w:sz w:val="28"/>
          <w:szCs w:val="28"/>
        </w:rPr>
      </w:pPr>
    </w:p>
    <w:p>
      <w:pPr>
        <w:spacing w:line="240" w:lineRule="auto"/>
        <w:rPr>
          <w:rFonts w:ascii="宋体" w:hAnsi="宋体" w:cs="宋体"/>
          <w:b/>
          <w:bCs/>
          <w:sz w:val="28"/>
          <w:szCs w:val="28"/>
        </w:rPr>
      </w:pPr>
      <w:r>
        <w:rPr>
          <w:rFonts w:hint="eastAsia" w:ascii="宋体" w:hAnsi="宋体" w:cs="宋体"/>
          <w:b/>
          <w:bCs/>
          <w:sz w:val="28"/>
          <w:szCs w:val="28"/>
        </w:rPr>
        <w:t>第二条    产品的技术标准（包括质量要求）；按下列第</w:t>
      </w:r>
      <w:r>
        <w:rPr>
          <w:rFonts w:hint="eastAsia" w:ascii="宋体" w:hAnsi="宋体" w:cs="宋体"/>
          <w:b/>
          <w:bCs/>
          <w:sz w:val="28"/>
          <w:szCs w:val="28"/>
          <w:u w:val="single"/>
        </w:rPr>
        <w:t>（ 1 ）</w:t>
      </w:r>
      <w:r>
        <w:rPr>
          <w:rFonts w:hint="eastAsia" w:ascii="宋体" w:hAnsi="宋体" w:cs="宋体"/>
          <w:b/>
          <w:bCs/>
          <w:sz w:val="28"/>
          <w:szCs w:val="28"/>
        </w:rPr>
        <w:t>项执行：</w:t>
      </w:r>
    </w:p>
    <w:p>
      <w:pPr>
        <w:spacing w:line="240" w:lineRule="auto"/>
        <w:rPr>
          <w:rFonts w:hint="eastAsia" w:ascii="宋体" w:hAnsi="宋体" w:cs="宋体"/>
          <w:sz w:val="28"/>
          <w:szCs w:val="28"/>
        </w:rPr>
      </w:pPr>
      <w:r>
        <w:rPr>
          <w:rFonts w:hint="eastAsia" w:ascii="宋体" w:hAnsi="宋体" w:cs="宋体"/>
          <w:sz w:val="28"/>
          <w:szCs w:val="28"/>
        </w:rPr>
        <w:t>（1）按国家标准执行；</w:t>
      </w:r>
    </w:p>
    <w:p>
      <w:pPr>
        <w:spacing w:line="240" w:lineRule="auto"/>
        <w:rPr>
          <w:rFonts w:hint="eastAsia" w:ascii="宋体" w:hAnsi="宋体" w:cs="宋体"/>
          <w:sz w:val="28"/>
          <w:szCs w:val="28"/>
        </w:rPr>
      </w:pPr>
      <w:r>
        <w:rPr>
          <w:rFonts w:hint="eastAsia" w:ascii="宋体" w:hAnsi="宋体" w:cs="宋体"/>
          <w:sz w:val="28"/>
          <w:szCs w:val="28"/>
        </w:rPr>
        <w:t>（2） 按部颁标准执行；</w:t>
      </w:r>
    </w:p>
    <w:p>
      <w:pPr>
        <w:spacing w:line="240" w:lineRule="auto"/>
        <w:rPr>
          <w:rFonts w:hint="eastAsia" w:ascii="宋体" w:hAnsi="宋体" w:cs="宋体"/>
          <w:sz w:val="28"/>
          <w:szCs w:val="28"/>
        </w:rPr>
      </w:pPr>
      <w:r>
        <w:rPr>
          <w:rFonts w:hint="eastAsia" w:ascii="宋体" w:hAnsi="宋体" w:cs="宋体"/>
          <w:sz w:val="28"/>
          <w:szCs w:val="28"/>
        </w:rPr>
        <w:t>（3）若无以上标准，则应不低于同行业质量标准；</w:t>
      </w:r>
    </w:p>
    <w:p>
      <w:pPr>
        <w:spacing w:line="240" w:lineRule="auto"/>
        <w:rPr>
          <w:rFonts w:ascii="宋体" w:hAnsi="宋体" w:cs="宋体"/>
          <w:sz w:val="28"/>
          <w:szCs w:val="28"/>
        </w:rPr>
      </w:pPr>
      <w:r>
        <w:rPr>
          <w:rFonts w:hint="eastAsia" w:ascii="宋体" w:hAnsi="宋体" w:cs="宋体"/>
          <w:sz w:val="28"/>
          <w:szCs w:val="28"/>
        </w:rPr>
        <w:t>（4）有特殊要求的，按甲乙双方在合同中商定的技术条件、样品或补充的技术要求执行；</w:t>
      </w:r>
    </w:p>
    <w:p>
      <w:pPr>
        <w:spacing w:line="240" w:lineRule="auto"/>
        <w:rPr>
          <w:rFonts w:ascii="宋体" w:hAnsi="宋体" w:cs="宋体"/>
          <w:sz w:val="28"/>
          <w:szCs w:val="28"/>
        </w:rPr>
      </w:pPr>
      <w:r>
        <w:rPr>
          <w:rFonts w:hint="eastAsia" w:ascii="宋体" w:hAnsi="宋体" w:cs="宋体"/>
          <w:sz w:val="28"/>
          <w:szCs w:val="28"/>
        </w:rPr>
        <w:t xml:space="preserve">    乙方提供的和交付的货物技术标准应与招标文件规定的技术标准相一致。若技术标准无相应规定，所投货物应符合相应的国际标准或原产地国家有关部门最新颁布的正式标准。</w:t>
      </w:r>
    </w:p>
    <w:p>
      <w:pPr>
        <w:spacing w:line="240" w:lineRule="auto"/>
        <w:rPr>
          <w:rFonts w:ascii="宋体" w:hAnsi="宋体" w:cs="宋体"/>
          <w:b/>
          <w:bCs/>
          <w:sz w:val="28"/>
          <w:szCs w:val="28"/>
        </w:rPr>
      </w:pPr>
      <w:r>
        <w:rPr>
          <w:rFonts w:hint="eastAsia" w:ascii="宋体" w:hAnsi="宋体" w:cs="宋体"/>
          <w:b/>
          <w:bCs/>
          <w:sz w:val="28"/>
          <w:szCs w:val="28"/>
        </w:rPr>
        <w:t>第三条    产品的交货方法、到货地点和交货期限</w:t>
      </w:r>
    </w:p>
    <w:p>
      <w:pPr>
        <w:spacing w:line="240" w:lineRule="auto"/>
        <w:ind w:firstLine="560" w:firstLineChars="200"/>
        <w:rPr>
          <w:rFonts w:ascii="宋体" w:hAnsi="宋体" w:cs="宋体"/>
          <w:sz w:val="28"/>
          <w:szCs w:val="28"/>
        </w:rPr>
      </w:pPr>
      <w:r>
        <w:rPr>
          <w:rFonts w:hint="eastAsia" w:ascii="宋体" w:hAnsi="宋体" w:cs="宋体"/>
          <w:sz w:val="28"/>
          <w:szCs w:val="28"/>
        </w:rPr>
        <w:t>1、交货方法，按下列第</w:t>
      </w:r>
      <w:r>
        <w:rPr>
          <w:rFonts w:hint="eastAsia" w:ascii="宋体" w:hAnsi="宋体" w:cs="宋体"/>
          <w:sz w:val="28"/>
          <w:szCs w:val="28"/>
          <w:u w:val="single"/>
        </w:rPr>
        <w:t>（</w:t>
      </w:r>
      <w:r>
        <w:rPr>
          <w:rFonts w:hint="eastAsia" w:ascii="宋体" w:hAnsi="宋体" w:cs="宋体"/>
          <w:sz w:val="28"/>
          <w:szCs w:val="28"/>
          <w:u w:val="single"/>
          <w:lang w:val="en-US" w:eastAsia="zh-CN"/>
        </w:rPr>
        <w:t>1</w:t>
      </w:r>
      <w:r>
        <w:rPr>
          <w:rFonts w:hint="eastAsia" w:ascii="宋体" w:hAnsi="宋体" w:cs="宋体"/>
          <w:sz w:val="28"/>
          <w:szCs w:val="28"/>
          <w:u w:val="single"/>
        </w:rPr>
        <w:t>）</w:t>
      </w:r>
      <w:r>
        <w:rPr>
          <w:rFonts w:hint="eastAsia" w:ascii="宋体" w:hAnsi="宋体" w:cs="宋体"/>
          <w:sz w:val="28"/>
          <w:szCs w:val="28"/>
        </w:rPr>
        <w:t>项执行：</w:t>
      </w:r>
    </w:p>
    <w:p>
      <w:pPr>
        <w:spacing w:line="240" w:lineRule="auto"/>
        <w:ind w:firstLine="560" w:firstLineChars="200"/>
        <w:rPr>
          <w:rFonts w:ascii="宋体" w:hAnsi="宋体" w:cs="宋体"/>
          <w:sz w:val="28"/>
          <w:szCs w:val="28"/>
        </w:rPr>
      </w:pPr>
      <w:r>
        <w:rPr>
          <w:rFonts w:hint="eastAsia" w:ascii="宋体" w:hAnsi="宋体" w:cs="宋体"/>
          <w:sz w:val="28"/>
          <w:szCs w:val="28"/>
        </w:rPr>
        <w:t>（1）乙方送货上门；（2）乙方代运；（3）甲方自提自运。</w:t>
      </w:r>
    </w:p>
    <w:p>
      <w:pPr>
        <w:spacing w:line="24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2、到货地点：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p>
    <w:p>
      <w:pPr>
        <w:spacing w:line="240" w:lineRule="auto"/>
        <w:ind w:firstLine="560" w:firstLineChars="200"/>
        <w:rPr>
          <w:rFonts w:hint="default" w:ascii="宋体" w:hAnsi="宋体" w:eastAsia="宋体" w:cs="宋体"/>
          <w:b/>
          <w:bCs/>
          <w:sz w:val="28"/>
          <w:szCs w:val="28"/>
          <w:lang w:val="en-US" w:eastAsia="zh-CN"/>
        </w:rPr>
      </w:pPr>
      <w:r>
        <w:rPr>
          <w:rFonts w:hint="eastAsia" w:ascii="宋体" w:hAnsi="宋体" w:cs="宋体"/>
          <w:sz w:val="28"/>
          <w:szCs w:val="28"/>
        </w:rPr>
        <w:t>3、产品交货期限：</w:t>
      </w:r>
      <w:r>
        <w:rPr>
          <w:rFonts w:hint="eastAsia" w:ascii="宋体" w:hAnsi="宋体" w:cs="宋体"/>
          <w:sz w:val="28"/>
          <w:szCs w:val="28"/>
          <w:u w:val="single"/>
          <w:lang w:val="en-US" w:eastAsia="zh-CN"/>
        </w:rPr>
        <w:t xml:space="preserve">               </w:t>
      </w:r>
    </w:p>
    <w:p>
      <w:pPr>
        <w:spacing w:line="240" w:lineRule="auto"/>
        <w:rPr>
          <w:rFonts w:ascii="宋体" w:hAnsi="宋体" w:cs="宋体"/>
          <w:b/>
          <w:bCs/>
          <w:sz w:val="28"/>
          <w:szCs w:val="28"/>
        </w:rPr>
      </w:pPr>
      <w:r>
        <w:rPr>
          <w:rFonts w:hint="eastAsia" w:ascii="宋体" w:hAnsi="宋体" w:cs="宋体"/>
          <w:b/>
          <w:bCs/>
          <w:sz w:val="28"/>
          <w:szCs w:val="28"/>
        </w:rPr>
        <w:t>第四条    合同总价款</w:t>
      </w:r>
    </w:p>
    <w:p>
      <w:pPr>
        <w:spacing w:line="240" w:lineRule="auto"/>
        <w:ind w:firstLine="560" w:firstLineChars="200"/>
        <w:rPr>
          <w:rFonts w:ascii="宋体" w:hAnsi="宋体" w:cs="宋体"/>
          <w:sz w:val="28"/>
          <w:szCs w:val="28"/>
          <w:u w:val="single"/>
        </w:rPr>
      </w:pPr>
      <w:r>
        <w:rPr>
          <w:rFonts w:hint="eastAsia" w:ascii="宋体" w:hAnsi="宋体" w:cs="宋体"/>
          <w:sz w:val="28"/>
          <w:szCs w:val="28"/>
        </w:rPr>
        <w:t>合同总价款（大小写）：</w:t>
      </w:r>
      <w:r>
        <w:rPr>
          <w:rFonts w:hint="eastAsia" w:ascii="宋体" w:hAnsi="宋体" w:cs="宋体"/>
          <w:sz w:val="28"/>
          <w:szCs w:val="28"/>
          <w:u w:val="single"/>
          <w:lang w:val="en-US" w:eastAsia="zh-CN"/>
        </w:rPr>
        <w:t xml:space="preserve">            （小写：       元）</w:t>
      </w:r>
    </w:p>
    <w:p>
      <w:pPr>
        <w:spacing w:line="240" w:lineRule="auto"/>
        <w:rPr>
          <w:rFonts w:ascii="宋体" w:hAnsi="宋体" w:cs="宋体"/>
          <w:sz w:val="28"/>
          <w:szCs w:val="28"/>
        </w:rPr>
      </w:pPr>
      <w:r>
        <w:rPr>
          <w:rFonts w:hint="eastAsia" w:ascii="宋体" w:hAnsi="宋体" w:cs="宋体"/>
          <w:b/>
          <w:bCs/>
          <w:sz w:val="28"/>
          <w:szCs w:val="28"/>
        </w:rPr>
        <w:t>第五条    付款方式：本合同以人民币付款</w:t>
      </w:r>
    </w:p>
    <w:p>
      <w:pPr>
        <w:spacing w:line="24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在乙方提供货物，验收合格后，由</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甲方 </w:t>
      </w:r>
      <w:r>
        <w:rPr>
          <w:rFonts w:hint="eastAsia" w:ascii="宋体" w:hAnsi="宋体" w:cs="宋体"/>
          <w:sz w:val="28"/>
          <w:szCs w:val="28"/>
        </w:rPr>
        <w:t>支付相应的货款</w:t>
      </w:r>
      <w:r>
        <w:rPr>
          <w:rFonts w:hint="eastAsia" w:ascii="宋体" w:hAnsi="宋体" w:cs="宋体"/>
          <w:sz w:val="28"/>
          <w:szCs w:val="28"/>
          <w:lang w:eastAsia="zh-CN"/>
        </w:rPr>
        <w:t>，向上级主管部门申请拨款，拨款到后，再支付。</w:t>
      </w:r>
    </w:p>
    <w:p>
      <w:pPr>
        <w:spacing w:line="240" w:lineRule="auto"/>
        <w:rPr>
          <w:rFonts w:hint="eastAsia" w:ascii="宋体" w:hAnsi="宋体" w:cs="宋体"/>
          <w:sz w:val="28"/>
          <w:szCs w:val="28"/>
        </w:rPr>
      </w:pPr>
      <w:r>
        <w:rPr>
          <w:rFonts w:hint="eastAsia" w:ascii="宋体" w:hAnsi="宋体" w:cs="宋体"/>
          <w:sz w:val="28"/>
          <w:szCs w:val="28"/>
        </w:rPr>
        <w:t>货款支付方式：供货完毕，验收合格后支付合同价款97%，3%质保期一年后质保期满后支付。</w:t>
      </w:r>
    </w:p>
    <w:p>
      <w:pPr>
        <w:spacing w:line="240" w:lineRule="auto"/>
        <w:rPr>
          <w:rFonts w:ascii="宋体" w:hAnsi="宋体" w:cs="宋体"/>
          <w:b/>
          <w:bCs/>
          <w:sz w:val="28"/>
          <w:szCs w:val="28"/>
        </w:rPr>
      </w:pPr>
      <w:r>
        <w:rPr>
          <w:rFonts w:hint="eastAsia" w:ascii="宋体" w:hAnsi="宋体" w:cs="宋体"/>
          <w:b/>
          <w:bCs/>
          <w:sz w:val="28"/>
          <w:szCs w:val="28"/>
        </w:rPr>
        <w:t>第六条    验收方法</w:t>
      </w:r>
    </w:p>
    <w:p>
      <w:pPr>
        <w:spacing w:line="240" w:lineRule="auto"/>
        <w:ind w:firstLine="560" w:firstLineChars="200"/>
        <w:rPr>
          <w:rFonts w:hint="eastAsia" w:ascii="宋体" w:hAnsi="宋体" w:cs="宋体"/>
          <w:sz w:val="28"/>
          <w:szCs w:val="28"/>
        </w:rPr>
      </w:pPr>
      <w:r>
        <w:rPr>
          <w:rFonts w:hint="eastAsia" w:ascii="宋体" w:hAnsi="宋体" w:cs="宋体"/>
          <w:sz w:val="28"/>
          <w:szCs w:val="28"/>
        </w:rPr>
        <w:t>乙方提供货物后，在</w:t>
      </w:r>
      <w:r>
        <w:rPr>
          <w:rFonts w:hint="eastAsia" w:ascii="宋体" w:hAnsi="宋体" w:cs="宋体"/>
          <w:sz w:val="28"/>
          <w:szCs w:val="28"/>
          <w:u w:val="single"/>
          <w:lang w:val="en-US" w:eastAsia="zh-CN"/>
        </w:rPr>
        <w:t>7</w:t>
      </w:r>
      <w:r>
        <w:rPr>
          <w:rFonts w:hint="eastAsia" w:ascii="宋体" w:hAnsi="宋体" w:cs="宋体"/>
          <w:sz w:val="28"/>
          <w:szCs w:val="28"/>
        </w:rPr>
        <w:t>天内通知甲方组织验收，采购中心保留参与本项目验收的权利。验收不合格的，乙方应负责重新提供达到本合同约定的质量要求的产品。</w:t>
      </w:r>
    </w:p>
    <w:p>
      <w:pPr>
        <w:pStyle w:val="10"/>
        <w:spacing w:line="240" w:lineRule="auto"/>
        <w:ind w:left="420"/>
        <w:rPr>
          <w:rFonts w:ascii="宋体" w:hAnsi="宋体" w:cs="宋体"/>
          <w:sz w:val="28"/>
          <w:szCs w:val="28"/>
        </w:rPr>
      </w:pPr>
      <w:r>
        <w:rPr>
          <w:rFonts w:hint="eastAsia" w:ascii="宋体" w:hAnsi="宋体" w:cs="宋体"/>
          <w:sz w:val="28"/>
          <w:szCs w:val="28"/>
        </w:rPr>
        <w:t>甲、乙双方应严格履行合同有关条款，如果验收过程中发现乙方在没有征得采购中心同意的情况下擅自变更合同标的物，将拒绝通过验收，由此引起的一切后果及损失由乙方承担。</w:t>
      </w:r>
    </w:p>
    <w:p>
      <w:pPr>
        <w:spacing w:line="240" w:lineRule="auto"/>
        <w:rPr>
          <w:rFonts w:ascii="宋体" w:hAnsi="宋体" w:cs="宋体"/>
          <w:b/>
          <w:bCs/>
          <w:sz w:val="28"/>
          <w:szCs w:val="28"/>
        </w:rPr>
      </w:pPr>
      <w:r>
        <w:rPr>
          <w:rFonts w:hint="eastAsia" w:ascii="宋体" w:hAnsi="宋体" w:cs="宋体"/>
          <w:b/>
          <w:bCs/>
          <w:sz w:val="28"/>
          <w:szCs w:val="28"/>
        </w:rPr>
        <w:t>第七条    违约责任</w:t>
      </w:r>
    </w:p>
    <w:p>
      <w:pPr>
        <w:spacing w:line="240" w:lineRule="auto"/>
        <w:ind w:firstLine="560" w:firstLineChars="200"/>
        <w:rPr>
          <w:rFonts w:ascii="宋体" w:hAnsi="宋体" w:cs="宋体"/>
          <w:sz w:val="28"/>
          <w:szCs w:val="28"/>
        </w:rPr>
      </w:pPr>
      <w:r>
        <w:rPr>
          <w:rFonts w:hint="eastAsia" w:ascii="宋体" w:hAnsi="宋体" w:cs="宋体"/>
          <w:sz w:val="28"/>
          <w:szCs w:val="28"/>
        </w:rPr>
        <w:t>1、乙方不能交货的，应向甲方偿付不能交货部分货款的</w:t>
      </w:r>
      <w:r>
        <w:rPr>
          <w:rFonts w:hint="eastAsia" w:ascii="宋体" w:hAnsi="宋体" w:cs="宋体"/>
          <w:sz w:val="28"/>
          <w:szCs w:val="28"/>
          <w:u w:val="single"/>
        </w:rPr>
        <w:t xml:space="preserve">5% </w:t>
      </w:r>
      <w:r>
        <w:rPr>
          <w:rFonts w:hint="eastAsia" w:ascii="宋体" w:hAnsi="宋体" w:cs="宋体"/>
          <w:sz w:val="28"/>
          <w:szCs w:val="28"/>
        </w:rPr>
        <w:t>（通用产品的幅度为1%－5%，专用产品的幅度为10%－30%）的违约金。</w:t>
      </w:r>
    </w:p>
    <w:p>
      <w:pPr>
        <w:spacing w:line="240" w:lineRule="auto"/>
        <w:ind w:firstLine="560" w:firstLineChars="200"/>
        <w:rPr>
          <w:rFonts w:ascii="宋体" w:hAnsi="宋体" w:cs="宋体"/>
          <w:sz w:val="28"/>
          <w:szCs w:val="28"/>
        </w:rPr>
      </w:pPr>
      <w:r>
        <w:rPr>
          <w:rFonts w:hint="eastAsia" w:ascii="宋体" w:hAnsi="宋体" w:cs="宋体"/>
          <w:sz w:val="28"/>
          <w:szCs w:val="28"/>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240" w:lineRule="auto"/>
        <w:ind w:firstLine="560" w:firstLineChars="200"/>
        <w:rPr>
          <w:rFonts w:ascii="宋体" w:hAnsi="宋体" w:cs="宋体"/>
          <w:sz w:val="28"/>
          <w:szCs w:val="28"/>
        </w:rPr>
      </w:pPr>
      <w:r>
        <w:rPr>
          <w:rFonts w:hint="eastAsia" w:ascii="宋体" w:hAnsi="宋体" w:cs="宋体"/>
          <w:sz w:val="28"/>
          <w:szCs w:val="28"/>
        </w:rPr>
        <w:t>3、甲方中途退货，应向乙方偿付退货部分货款</w:t>
      </w:r>
      <w:r>
        <w:rPr>
          <w:rFonts w:hint="eastAsia" w:ascii="宋体" w:hAnsi="宋体" w:cs="宋体"/>
          <w:sz w:val="28"/>
          <w:szCs w:val="28"/>
          <w:u w:val="single"/>
        </w:rPr>
        <w:t>5 %</w:t>
      </w:r>
      <w:r>
        <w:rPr>
          <w:rFonts w:hint="eastAsia" w:ascii="宋体" w:hAnsi="宋体" w:cs="宋体"/>
          <w:sz w:val="28"/>
          <w:szCs w:val="28"/>
        </w:rPr>
        <w:t>（通用产品的幅度为1%-5%专用产品的幅度为10%-30%）的违约金。</w:t>
      </w:r>
    </w:p>
    <w:p>
      <w:pPr>
        <w:spacing w:line="240" w:lineRule="auto"/>
        <w:ind w:firstLine="560" w:firstLineChars="200"/>
        <w:rPr>
          <w:rFonts w:ascii="宋体" w:hAnsi="宋体" w:cs="宋体"/>
          <w:sz w:val="28"/>
          <w:szCs w:val="28"/>
        </w:rPr>
      </w:pPr>
      <w:r>
        <w:rPr>
          <w:rFonts w:hint="eastAsia" w:ascii="宋体" w:hAnsi="宋体" w:cs="宋体"/>
          <w:sz w:val="28"/>
          <w:szCs w:val="28"/>
        </w:rPr>
        <w:t>4、甲方违反合同规定拒绝接货的，应当承担由此造成的损失。</w:t>
      </w:r>
    </w:p>
    <w:p>
      <w:pPr>
        <w:spacing w:line="240" w:lineRule="auto"/>
        <w:ind w:firstLine="560" w:firstLineChars="200"/>
        <w:rPr>
          <w:rFonts w:ascii="宋体" w:hAnsi="宋体" w:cs="宋体"/>
          <w:sz w:val="28"/>
          <w:szCs w:val="28"/>
        </w:rPr>
      </w:pPr>
      <w:r>
        <w:rPr>
          <w:rFonts w:hint="eastAsia" w:ascii="宋体" w:hAnsi="宋体" w:cs="宋体"/>
          <w:sz w:val="28"/>
          <w:szCs w:val="28"/>
        </w:rPr>
        <w:t>5、任何一方未经对方同意而单方面终止合同的，应向对方赔偿相当于本合同总价款</w:t>
      </w:r>
      <w:r>
        <w:rPr>
          <w:rFonts w:hint="eastAsia" w:ascii="宋体" w:hAnsi="宋体" w:cs="宋体"/>
          <w:sz w:val="28"/>
          <w:szCs w:val="28"/>
          <w:u w:val="single"/>
        </w:rPr>
        <w:t>10%</w:t>
      </w:r>
      <w:r>
        <w:rPr>
          <w:rFonts w:hint="eastAsia" w:ascii="宋体" w:hAnsi="宋体" w:cs="宋体"/>
          <w:sz w:val="28"/>
          <w:szCs w:val="28"/>
        </w:rPr>
        <w:t>违约金。</w:t>
      </w:r>
    </w:p>
    <w:p>
      <w:pPr>
        <w:spacing w:line="240" w:lineRule="auto"/>
        <w:rPr>
          <w:rFonts w:ascii="宋体" w:hAnsi="宋体" w:cs="宋体"/>
          <w:b/>
          <w:bCs/>
          <w:sz w:val="28"/>
          <w:szCs w:val="28"/>
        </w:rPr>
      </w:pPr>
      <w:r>
        <w:rPr>
          <w:rFonts w:hint="eastAsia" w:ascii="宋体" w:hAnsi="宋体" w:cs="宋体"/>
          <w:b/>
          <w:bCs/>
          <w:sz w:val="28"/>
          <w:szCs w:val="28"/>
        </w:rPr>
        <w:t>第八条   合同生效</w:t>
      </w:r>
    </w:p>
    <w:p>
      <w:pPr>
        <w:spacing w:line="240" w:lineRule="auto"/>
        <w:ind w:firstLine="560" w:firstLineChars="200"/>
        <w:rPr>
          <w:rFonts w:ascii="宋体" w:hAnsi="宋体" w:cs="宋体"/>
          <w:sz w:val="28"/>
          <w:szCs w:val="28"/>
        </w:rPr>
      </w:pPr>
      <w:r>
        <w:rPr>
          <w:rFonts w:hint="eastAsia" w:ascii="宋体" w:hAnsi="宋体" w:cs="宋体"/>
          <w:sz w:val="28"/>
          <w:szCs w:val="28"/>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sz w:val="28"/>
          <w:szCs w:val="28"/>
          <w:u w:val="single"/>
        </w:rPr>
        <w:t xml:space="preserve"> </w:t>
      </w:r>
      <w:r>
        <w:rPr>
          <w:rFonts w:hint="eastAsia" w:ascii="宋体" w:hAnsi="宋体" w:cs="宋体"/>
          <w:sz w:val="28"/>
          <w:szCs w:val="28"/>
          <w:u w:val="single"/>
          <w:lang w:eastAsia="zh-CN"/>
        </w:rPr>
        <w:t>贰</w:t>
      </w:r>
      <w:r>
        <w:rPr>
          <w:rFonts w:hint="eastAsia" w:ascii="宋体" w:hAnsi="宋体" w:cs="宋体"/>
          <w:sz w:val="28"/>
          <w:szCs w:val="28"/>
        </w:rPr>
        <w:t>份。</w:t>
      </w:r>
    </w:p>
    <w:p>
      <w:pPr>
        <w:spacing w:line="240" w:lineRule="auto"/>
        <w:rPr>
          <w:rFonts w:ascii="宋体" w:hAnsi="宋体" w:cs="宋体"/>
          <w:b/>
          <w:bCs/>
          <w:sz w:val="28"/>
          <w:szCs w:val="28"/>
        </w:rPr>
      </w:pPr>
      <w:r>
        <w:rPr>
          <w:rFonts w:hint="eastAsia" w:ascii="宋体" w:hAnsi="宋体" w:cs="宋体"/>
          <w:b/>
          <w:bCs/>
          <w:sz w:val="28"/>
          <w:szCs w:val="28"/>
        </w:rPr>
        <w:t>第九条  售后服务及技术支持</w:t>
      </w:r>
    </w:p>
    <w:p>
      <w:pPr>
        <w:spacing w:line="240" w:lineRule="auto"/>
        <w:ind w:firstLine="560" w:firstLineChars="200"/>
        <w:rPr>
          <w:rFonts w:ascii="宋体" w:hAnsi="宋体" w:cs="宋体"/>
          <w:sz w:val="28"/>
          <w:szCs w:val="28"/>
        </w:rPr>
      </w:pPr>
      <w:r>
        <w:rPr>
          <w:rFonts w:hint="eastAsia" w:ascii="宋体" w:hAnsi="宋体" w:cs="宋体"/>
          <w:sz w:val="28"/>
          <w:szCs w:val="28"/>
        </w:rPr>
        <w:t>乙方应提供完善全面的技术支持和售后服务，否则采购中心将根据甲方的请补偿甲方。</w:t>
      </w:r>
    </w:p>
    <w:p>
      <w:pPr>
        <w:spacing w:line="240" w:lineRule="auto"/>
        <w:ind w:firstLine="560" w:firstLineChars="200"/>
        <w:rPr>
          <w:rFonts w:ascii="宋体" w:hAnsi="宋体" w:cs="宋体"/>
          <w:sz w:val="28"/>
          <w:szCs w:val="28"/>
        </w:rPr>
      </w:pPr>
      <w:r>
        <w:rPr>
          <w:rFonts w:hint="eastAsia" w:ascii="宋体" w:hAnsi="宋体" w:cs="宋体"/>
          <w:sz w:val="28"/>
          <w:szCs w:val="28"/>
        </w:rPr>
        <w:t>1、保修</w:t>
      </w:r>
    </w:p>
    <w:p>
      <w:pPr>
        <w:spacing w:line="240" w:lineRule="auto"/>
        <w:ind w:firstLine="560" w:firstLineChars="200"/>
        <w:rPr>
          <w:rFonts w:ascii="宋体" w:hAnsi="宋体" w:cs="宋体"/>
          <w:sz w:val="28"/>
          <w:szCs w:val="28"/>
        </w:rPr>
      </w:pPr>
      <w:r>
        <w:rPr>
          <w:rFonts w:hint="eastAsia" w:ascii="宋体" w:hAnsi="宋体" w:cs="宋体"/>
          <w:sz w:val="28"/>
          <w:szCs w:val="28"/>
        </w:rPr>
        <w:t>乙方对其所提供的货物免费质保</w:t>
      </w:r>
      <w:r>
        <w:rPr>
          <w:rFonts w:hint="eastAsia" w:ascii="宋体" w:hAnsi="宋体" w:cs="宋体"/>
          <w:sz w:val="28"/>
          <w:szCs w:val="28"/>
          <w:u w:val="single"/>
          <w:lang w:val="en-US" w:eastAsia="zh-CN"/>
        </w:rPr>
        <w:t xml:space="preserve"> 一 </w:t>
      </w:r>
      <w:r>
        <w:rPr>
          <w:rFonts w:hint="eastAsia" w:ascii="宋体" w:hAnsi="宋体" w:cs="宋体"/>
          <w:sz w:val="28"/>
          <w:szCs w:val="28"/>
        </w:rPr>
        <w:t>年，保修期从</w:t>
      </w:r>
      <w:r>
        <w:rPr>
          <w:rFonts w:hint="eastAsia" w:ascii="宋体" w:hAnsi="宋体" w:cs="宋体"/>
          <w:sz w:val="28"/>
          <w:szCs w:val="28"/>
          <w:u w:val="single"/>
        </w:rPr>
        <w:t xml:space="preserve">  </w:t>
      </w:r>
      <w:r>
        <w:rPr>
          <w:rFonts w:hint="eastAsia" w:ascii="宋体" w:hAnsi="宋体" w:cs="宋体"/>
          <w:sz w:val="28"/>
          <w:szCs w:val="28"/>
          <w:u w:val="single"/>
          <w:lang w:eastAsia="zh-CN"/>
        </w:rPr>
        <w:t>验收合格</w:t>
      </w:r>
      <w:r>
        <w:rPr>
          <w:rFonts w:hint="eastAsia" w:ascii="宋体" w:hAnsi="宋体" w:cs="宋体"/>
          <w:sz w:val="28"/>
          <w:szCs w:val="28"/>
          <w:u w:val="single"/>
        </w:rPr>
        <w:t xml:space="preserve">  </w:t>
      </w:r>
      <w:r>
        <w:rPr>
          <w:rFonts w:hint="eastAsia" w:ascii="宋体" w:hAnsi="宋体" w:cs="宋体"/>
          <w:sz w:val="28"/>
          <w:szCs w:val="28"/>
        </w:rPr>
        <w:t>开始。乙方应在接到报修通知后</w:t>
      </w:r>
      <w:r>
        <w:rPr>
          <w:rFonts w:hint="eastAsia" w:ascii="宋体" w:hAnsi="宋体" w:cs="宋体"/>
          <w:sz w:val="28"/>
          <w:szCs w:val="28"/>
          <w:u w:val="single"/>
          <w:lang w:val="en-US" w:eastAsia="zh-CN"/>
        </w:rPr>
        <w:t>12</w:t>
      </w:r>
      <w:r>
        <w:rPr>
          <w:rFonts w:hint="eastAsia" w:ascii="宋体" w:hAnsi="宋体" w:cs="宋体"/>
          <w:sz w:val="28"/>
          <w:szCs w:val="28"/>
        </w:rPr>
        <w:t>小时内上门维修，负责更换有瑕疵的货物、部件或提供相应的质量保证期内的服务。由此造成的损失，甲方保留索赔的权利。</w:t>
      </w:r>
    </w:p>
    <w:p>
      <w:pPr>
        <w:spacing w:line="240" w:lineRule="auto"/>
        <w:ind w:firstLine="560" w:firstLineChars="200"/>
        <w:rPr>
          <w:rFonts w:ascii="宋体" w:hAnsi="宋体" w:cs="宋体"/>
          <w:sz w:val="28"/>
          <w:szCs w:val="28"/>
        </w:rPr>
      </w:pPr>
      <w:r>
        <w:rPr>
          <w:rFonts w:hint="eastAsia" w:ascii="宋体" w:hAnsi="宋体" w:cs="宋体"/>
          <w:sz w:val="28"/>
          <w:szCs w:val="28"/>
        </w:rPr>
        <w:t>如果乙方在收到报修通知后</w:t>
      </w:r>
      <w:r>
        <w:rPr>
          <w:rFonts w:hint="eastAsia" w:ascii="宋体" w:hAnsi="宋体" w:cs="宋体"/>
          <w:sz w:val="28"/>
          <w:szCs w:val="28"/>
          <w:lang w:val="en-US" w:eastAsia="zh-CN"/>
        </w:rPr>
        <w:t>12</w:t>
      </w:r>
      <w:r>
        <w:rPr>
          <w:rFonts w:hint="eastAsia" w:ascii="宋体" w:hAnsi="宋体" w:cs="宋体"/>
          <w:sz w:val="28"/>
          <w:szCs w:val="28"/>
        </w:rPr>
        <w:t>小时内没有弥补缺陷，甲方可采取必要的补救措施，但费用和风险由乙方承担。</w:t>
      </w:r>
    </w:p>
    <w:p>
      <w:pPr>
        <w:spacing w:line="240" w:lineRule="auto"/>
        <w:ind w:firstLine="560" w:firstLineChars="200"/>
        <w:rPr>
          <w:rFonts w:ascii="宋体" w:hAnsi="宋体" w:cs="宋体"/>
          <w:sz w:val="28"/>
          <w:szCs w:val="28"/>
        </w:rPr>
      </w:pPr>
      <w:r>
        <w:rPr>
          <w:rFonts w:hint="eastAsia" w:ascii="宋体" w:hAnsi="宋体" w:cs="宋体"/>
          <w:sz w:val="28"/>
          <w:szCs w:val="28"/>
        </w:rPr>
        <w:t>2、维修</w:t>
      </w:r>
    </w:p>
    <w:p>
      <w:pPr>
        <w:spacing w:line="240" w:lineRule="auto"/>
        <w:ind w:firstLine="560" w:firstLineChars="200"/>
        <w:rPr>
          <w:rFonts w:ascii="宋体" w:hAnsi="宋体" w:cs="宋体"/>
          <w:sz w:val="28"/>
          <w:szCs w:val="28"/>
        </w:rPr>
      </w:pPr>
      <w:r>
        <w:rPr>
          <w:rFonts w:hint="eastAsia" w:ascii="宋体" w:hAnsi="宋体" w:cs="宋体"/>
          <w:sz w:val="28"/>
          <w:szCs w:val="28"/>
        </w:rPr>
        <w:t>保修期届满后，乙方应对其提供的货物负有维修义务，但所涉及的费用由甲方承担。</w:t>
      </w:r>
    </w:p>
    <w:p>
      <w:pPr>
        <w:spacing w:line="240" w:lineRule="auto"/>
        <w:rPr>
          <w:rFonts w:ascii="宋体" w:hAnsi="宋体" w:cs="宋体"/>
          <w:sz w:val="28"/>
          <w:szCs w:val="28"/>
        </w:rPr>
      </w:pPr>
      <w:r>
        <w:rPr>
          <w:rFonts w:hint="eastAsia" w:ascii="宋体" w:hAnsi="宋体" w:cs="宋体"/>
          <w:sz w:val="28"/>
          <w:szCs w:val="28"/>
        </w:rPr>
        <w:t>第九条    合同有效期</w:t>
      </w:r>
    </w:p>
    <w:p>
      <w:pPr>
        <w:spacing w:line="240" w:lineRule="auto"/>
        <w:ind w:firstLine="560" w:firstLineChars="200"/>
        <w:rPr>
          <w:rFonts w:ascii="宋体" w:hAnsi="宋体" w:cs="宋体"/>
          <w:sz w:val="28"/>
          <w:szCs w:val="28"/>
        </w:rPr>
      </w:pPr>
      <w:r>
        <w:rPr>
          <w:rFonts w:hint="eastAsia" w:ascii="宋体" w:hAnsi="宋体" w:cs="宋体"/>
          <w:sz w:val="28"/>
          <w:szCs w:val="28"/>
        </w:rPr>
        <w:t>本合同自</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日至</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日有效</w:t>
      </w:r>
    </w:p>
    <w:p>
      <w:pPr>
        <w:spacing w:line="240" w:lineRule="auto"/>
        <w:rPr>
          <w:rFonts w:ascii="宋体" w:hAnsi="宋体" w:cs="宋体"/>
          <w:sz w:val="28"/>
          <w:szCs w:val="28"/>
        </w:rPr>
      </w:pPr>
      <w:r>
        <w:rPr>
          <w:rFonts w:hint="eastAsia" w:ascii="宋体" w:hAnsi="宋体" w:cs="宋体"/>
          <w:sz w:val="28"/>
          <w:szCs w:val="28"/>
        </w:rPr>
        <w:t>第十条    其他</w:t>
      </w:r>
    </w:p>
    <w:p>
      <w:pPr>
        <w:spacing w:line="240" w:lineRule="auto"/>
        <w:ind w:firstLine="560" w:firstLineChars="200"/>
        <w:rPr>
          <w:rFonts w:ascii="宋体" w:hAnsi="宋体" w:cs="宋体"/>
          <w:sz w:val="28"/>
          <w:szCs w:val="28"/>
        </w:rPr>
      </w:pPr>
      <w:r>
        <w:rPr>
          <w:rFonts w:hint="eastAsia" w:ascii="宋体" w:hAnsi="宋体" w:cs="宋体"/>
          <w:sz w:val="28"/>
          <w:szCs w:val="28"/>
        </w:rPr>
        <w:t>本合同如发生纠纷，当事人双方应当及时协商解决，协商不成时，任何一方均可请采购管理机关调解，调解不成，按以下第</w:t>
      </w:r>
      <w:r>
        <w:rPr>
          <w:rFonts w:hint="eastAsia" w:ascii="宋体" w:hAnsi="宋体" w:cs="宋体"/>
          <w:sz w:val="28"/>
          <w:szCs w:val="28"/>
          <w:u w:val="single"/>
        </w:rPr>
        <w:t>（  2 ）</w:t>
      </w:r>
      <w:r>
        <w:rPr>
          <w:rFonts w:hint="eastAsia" w:ascii="宋体" w:hAnsi="宋体" w:cs="宋体"/>
          <w:sz w:val="28"/>
          <w:szCs w:val="28"/>
        </w:rPr>
        <w:t>项方式处理：（1）根据《中华人民共和国仲裁法》的规定向当地</w:t>
      </w:r>
      <w:r>
        <w:rPr>
          <w:rFonts w:hint="eastAsia" w:ascii="宋体" w:hAnsi="宋体" w:cs="宋体"/>
          <w:b/>
          <w:bCs/>
          <w:sz w:val="28"/>
          <w:szCs w:val="28"/>
          <w:u w:val="single"/>
        </w:rPr>
        <w:t>仲裁委员会</w:t>
      </w:r>
      <w:r>
        <w:rPr>
          <w:rFonts w:hint="eastAsia" w:ascii="宋体" w:hAnsi="宋体" w:cs="宋体"/>
          <w:sz w:val="28"/>
          <w:szCs w:val="28"/>
        </w:rPr>
        <w:t>申请仲裁。（2）向合同交货地有管辖权的人民法院起诉。</w:t>
      </w:r>
    </w:p>
    <w:p>
      <w:pPr>
        <w:spacing w:line="240" w:lineRule="auto"/>
        <w:rPr>
          <w:rFonts w:hint="eastAsia" w:ascii="宋体" w:hAnsi="宋体" w:cs="宋体"/>
          <w:sz w:val="28"/>
          <w:szCs w:val="28"/>
        </w:rPr>
      </w:pPr>
    </w:p>
    <w:p>
      <w:pPr>
        <w:pStyle w:val="15"/>
        <w:rPr>
          <w:rFonts w:hint="eastAsia"/>
        </w:rPr>
      </w:pPr>
    </w:p>
    <w:p>
      <w:pPr>
        <w:spacing w:line="240" w:lineRule="auto"/>
        <w:rPr>
          <w:rFonts w:ascii="宋体" w:hAnsi="宋体" w:cs="宋体"/>
          <w:sz w:val="28"/>
          <w:szCs w:val="28"/>
        </w:rPr>
      </w:pPr>
      <w:r>
        <w:rPr>
          <w:rFonts w:hint="eastAsia" w:ascii="宋体" w:hAnsi="宋体" w:cs="宋体"/>
          <w:sz w:val="28"/>
          <w:szCs w:val="28"/>
        </w:rPr>
        <w:t>第十一条    合同附件及其效力</w:t>
      </w:r>
    </w:p>
    <w:p>
      <w:pPr>
        <w:spacing w:line="240" w:lineRule="auto"/>
        <w:ind w:firstLine="560" w:firstLineChars="200"/>
        <w:rPr>
          <w:rFonts w:ascii="宋体" w:hAnsi="宋体" w:cs="宋体"/>
          <w:sz w:val="28"/>
          <w:szCs w:val="28"/>
        </w:rPr>
      </w:pPr>
      <w:r>
        <w:rPr>
          <w:rFonts w:hint="eastAsia" w:ascii="宋体" w:hAnsi="宋体" w:cs="宋体"/>
          <w:sz w:val="28"/>
          <w:szCs w:val="28"/>
        </w:rPr>
        <w:t>下列文件作为合同附件，与合同具有同等法律效力，顺序在前的具有优先解释权；</w:t>
      </w:r>
    </w:p>
    <w:p>
      <w:pPr>
        <w:spacing w:line="240" w:lineRule="auto"/>
        <w:ind w:firstLine="560" w:firstLineChars="200"/>
        <w:rPr>
          <w:rFonts w:ascii="宋体" w:hAnsi="宋体" w:cs="宋体"/>
          <w:sz w:val="28"/>
          <w:szCs w:val="28"/>
        </w:rPr>
      </w:pPr>
      <w:r>
        <w:rPr>
          <w:rFonts w:hint="eastAsia" w:ascii="宋体" w:hAnsi="宋体" w:cs="宋体"/>
          <w:sz w:val="28"/>
          <w:szCs w:val="28"/>
        </w:rPr>
        <w:t>（1）采购文件；（2）报价文件；（3）通知书… …</w:t>
      </w:r>
    </w:p>
    <w:p>
      <w:pPr>
        <w:spacing w:line="240" w:lineRule="auto"/>
        <w:rPr>
          <w:rFonts w:ascii="宋体" w:hAnsi="宋体" w:cs="宋体"/>
          <w:sz w:val="28"/>
          <w:szCs w:val="28"/>
          <w:u w:val="single"/>
        </w:rPr>
      </w:pPr>
      <w:r>
        <w:rPr>
          <w:rFonts w:hint="eastAsia" w:ascii="宋体" w:hAnsi="宋体" w:cs="宋体"/>
          <w:sz w:val="28"/>
          <w:szCs w:val="28"/>
        </w:rPr>
        <w:t>第十二条    其他</w:t>
      </w:r>
      <w:r>
        <w:rPr>
          <w:rFonts w:hint="eastAsia" w:ascii="宋体" w:hAnsi="宋体" w:cs="宋体"/>
          <w:sz w:val="28"/>
          <w:szCs w:val="28"/>
          <w:u w:val="single"/>
        </w:rPr>
        <w:t xml:space="preserve">                                                       </w:t>
      </w:r>
    </w:p>
    <w:p>
      <w:pPr>
        <w:spacing w:line="240" w:lineRule="auto"/>
        <w:rPr>
          <w:rFonts w:hint="eastAsia" w:ascii="宋体" w:hAnsi="宋体" w:cs="宋体"/>
          <w:sz w:val="28"/>
          <w:szCs w:val="28"/>
        </w:rPr>
      </w:pPr>
      <w:r>
        <w:rPr>
          <w:rFonts w:hint="eastAsia" w:ascii="宋体" w:hAnsi="宋体" w:cs="宋体"/>
          <w:sz w:val="28"/>
          <w:szCs w:val="28"/>
        </w:rPr>
        <w:t>第十三条    本合同共</w:t>
      </w:r>
      <w:r>
        <w:rPr>
          <w:rFonts w:hint="eastAsia" w:ascii="宋体" w:hAnsi="宋体" w:cs="宋体"/>
          <w:sz w:val="28"/>
          <w:szCs w:val="28"/>
          <w:u w:val="single"/>
          <w:lang w:eastAsia="zh-CN"/>
        </w:rPr>
        <w:t>陆</w:t>
      </w:r>
      <w:r>
        <w:rPr>
          <w:rFonts w:hint="eastAsia" w:ascii="宋体" w:hAnsi="宋体" w:cs="宋体"/>
          <w:sz w:val="28"/>
          <w:szCs w:val="28"/>
        </w:rPr>
        <w:t>页，壹拾叁条。</w:t>
      </w:r>
    </w:p>
    <w:p>
      <w:pPr>
        <w:pStyle w:val="15"/>
        <w:rPr>
          <w:rFonts w:hint="eastAsia" w:ascii="宋体" w:hAnsi="宋体" w:cs="宋体"/>
          <w:sz w:val="28"/>
          <w:szCs w:val="28"/>
        </w:rPr>
      </w:pPr>
      <w:r>
        <w:rPr>
          <w:rFonts w:hint="eastAsia" w:ascii="宋体" w:hAnsi="宋体" w:cs="宋体"/>
          <w:sz w:val="28"/>
          <w:szCs w:val="28"/>
          <w:lang w:eastAsia="zh-CN"/>
        </w:rPr>
        <w:t>本合同必须与招标文件一致。</w:t>
      </w:r>
    </w:p>
    <w:p>
      <w:pPr>
        <w:spacing w:line="240" w:lineRule="auto"/>
        <w:rPr>
          <w:rFonts w:ascii="宋体" w:hAnsi="宋体" w:cs="宋体"/>
          <w:sz w:val="28"/>
          <w:szCs w:val="28"/>
        </w:rPr>
      </w:pPr>
      <w:r>
        <w:rPr>
          <w:rFonts w:hint="eastAsia" w:ascii="宋体" w:hAnsi="宋体" w:cs="宋体"/>
          <w:sz w:val="28"/>
          <w:szCs w:val="28"/>
        </w:rPr>
        <w:t xml:space="preserve">采购人（甲方）：（公章）                                </w:t>
      </w:r>
    </w:p>
    <w:p>
      <w:pPr>
        <w:spacing w:line="240" w:lineRule="auto"/>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lang w:eastAsia="zh-CN"/>
        </w:rPr>
        <w:t>或</w:t>
      </w:r>
      <w:r>
        <w:rPr>
          <w:rFonts w:hint="eastAsia" w:ascii="宋体" w:hAnsi="宋体" w:cs="宋体"/>
          <w:sz w:val="28"/>
          <w:szCs w:val="28"/>
        </w:rPr>
        <w:t>委托代理人</w:t>
      </w:r>
      <w:r>
        <w:rPr>
          <w:rFonts w:hint="eastAsia" w:ascii="宋体" w:hAnsi="宋体" w:cs="宋体"/>
          <w:sz w:val="28"/>
          <w:szCs w:val="28"/>
          <w:lang w:eastAsia="zh-CN"/>
        </w:rPr>
        <w:t>（签字）</w:t>
      </w:r>
      <w:r>
        <w:rPr>
          <w:rFonts w:hint="eastAsia" w:ascii="宋体" w:hAnsi="宋体" w:cs="宋体"/>
          <w:sz w:val="28"/>
          <w:szCs w:val="28"/>
        </w:rPr>
        <w:t xml:space="preserve">：                           </w:t>
      </w:r>
    </w:p>
    <w:p>
      <w:pPr>
        <w:spacing w:line="240" w:lineRule="auto"/>
        <w:rPr>
          <w:rFonts w:ascii="宋体" w:hAnsi="宋体" w:cs="宋体"/>
          <w:sz w:val="28"/>
          <w:szCs w:val="28"/>
        </w:rPr>
      </w:pPr>
      <w:r>
        <w:rPr>
          <w:rFonts w:hint="eastAsia" w:ascii="宋体" w:hAnsi="宋体" w:cs="宋体"/>
          <w:sz w:val="28"/>
          <w:szCs w:val="28"/>
        </w:rPr>
        <w:t xml:space="preserve">电话：                                   </w:t>
      </w:r>
    </w:p>
    <w:p>
      <w:pPr>
        <w:spacing w:line="240" w:lineRule="auto"/>
        <w:jc w:val="right"/>
        <w:rPr>
          <w:rFonts w:hint="eastAsia" w:ascii="宋体" w:hAnsi="宋体" w:cs="宋体"/>
          <w:sz w:val="28"/>
          <w:szCs w:val="28"/>
          <w:u w:val="single"/>
          <w:lang w:val="en-US" w:eastAsia="zh-CN"/>
        </w:rPr>
      </w:pPr>
    </w:p>
    <w:p>
      <w:pPr>
        <w:spacing w:line="240" w:lineRule="auto"/>
        <w:jc w:val="left"/>
        <w:rPr>
          <w:rFonts w:ascii="宋体" w:hAnsi="宋体" w:cs="宋体"/>
          <w:sz w:val="28"/>
          <w:szCs w:val="28"/>
        </w:rPr>
      </w:pP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 xml:space="preserve">日                  </w:t>
      </w:r>
    </w:p>
    <w:p>
      <w:pPr>
        <w:widowControl/>
        <w:adjustRightInd w:val="0"/>
        <w:snapToGrid w:val="0"/>
        <w:spacing w:line="500" w:lineRule="exact"/>
        <w:rPr>
          <w:rFonts w:ascii="仿宋" w:eastAsia="仿宋" w:cs="Arial"/>
          <w:kern w:val="0"/>
          <w:sz w:val="24"/>
          <w:szCs w:val="24"/>
        </w:rPr>
      </w:pPr>
    </w:p>
    <w:p>
      <w:pPr>
        <w:pStyle w:val="15"/>
        <w:ind w:firstLine="480"/>
        <w:rPr>
          <w:rFonts w:ascii="仿宋" w:eastAsia="仿宋" w:cs="Arial"/>
          <w:kern w:val="0"/>
          <w:sz w:val="24"/>
        </w:rPr>
      </w:pPr>
    </w:p>
    <w:p>
      <w:pPr>
        <w:pStyle w:val="15"/>
        <w:ind w:firstLine="480"/>
        <w:rPr>
          <w:rFonts w:ascii="仿宋" w:eastAsia="仿宋" w:cs="Arial"/>
          <w:kern w:val="0"/>
          <w:sz w:val="24"/>
        </w:rPr>
      </w:pPr>
    </w:p>
    <w:p>
      <w:pPr>
        <w:rPr>
          <w:rFonts w:hint="eastAsia" w:ascii="宋体" w:hAnsi="宋体" w:cs="宋体"/>
          <w:sz w:val="28"/>
          <w:szCs w:val="28"/>
        </w:rPr>
      </w:pPr>
      <w:r>
        <w:rPr>
          <w:rFonts w:hint="eastAsia" w:ascii="宋体" w:hAnsi="宋体" w:cs="宋体"/>
          <w:sz w:val="28"/>
          <w:szCs w:val="28"/>
        </w:rPr>
        <w:t>供货人（乙方）：（公章）</w:t>
      </w:r>
    </w:p>
    <w:p>
      <w:pPr>
        <w:spacing w:line="240" w:lineRule="auto"/>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lang w:eastAsia="zh-CN"/>
        </w:rPr>
        <w:t>或</w:t>
      </w:r>
      <w:r>
        <w:rPr>
          <w:rFonts w:hint="eastAsia" w:ascii="宋体" w:hAnsi="宋体" w:cs="宋体"/>
          <w:sz w:val="28"/>
          <w:szCs w:val="28"/>
        </w:rPr>
        <w:t>委托代理人</w:t>
      </w:r>
      <w:r>
        <w:rPr>
          <w:rFonts w:hint="eastAsia" w:ascii="宋体" w:hAnsi="宋体" w:cs="宋体"/>
          <w:sz w:val="28"/>
          <w:szCs w:val="28"/>
          <w:lang w:eastAsia="zh-CN"/>
        </w:rPr>
        <w:t>（签字）</w:t>
      </w:r>
      <w:r>
        <w:rPr>
          <w:rFonts w:hint="eastAsia" w:ascii="宋体" w:hAnsi="宋体" w:cs="宋体"/>
          <w:sz w:val="28"/>
          <w:szCs w:val="28"/>
        </w:rPr>
        <w:t xml:space="preserve">：                                                     </w:t>
      </w:r>
    </w:p>
    <w:p>
      <w:pPr>
        <w:spacing w:line="240" w:lineRule="auto"/>
        <w:rPr>
          <w:rFonts w:ascii="宋体" w:hAnsi="宋体" w:cs="宋体"/>
          <w:sz w:val="28"/>
          <w:szCs w:val="28"/>
        </w:rPr>
      </w:pPr>
      <w:r>
        <w:rPr>
          <w:rFonts w:hint="eastAsia" w:ascii="宋体" w:hAnsi="宋体" w:cs="宋体"/>
          <w:sz w:val="28"/>
          <w:szCs w:val="28"/>
        </w:rPr>
        <w:t xml:space="preserve">电话：                                   </w:t>
      </w:r>
    </w:p>
    <w:p>
      <w:pPr>
        <w:pStyle w:val="15"/>
        <w:jc w:val="right"/>
        <w:rPr>
          <w:rFonts w:hint="eastAsia" w:ascii="宋体" w:hAnsi="宋体" w:cs="宋体"/>
          <w:sz w:val="28"/>
          <w:szCs w:val="28"/>
          <w:u w:val="single"/>
          <w:lang w:val="en-US" w:eastAsia="zh-CN"/>
        </w:rPr>
      </w:pPr>
    </w:p>
    <w:p>
      <w:pPr>
        <w:spacing w:line="360" w:lineRule="auto"/>
        <w:rPr>
          <w:rFonts w:hint="eastAsia" w:ascii="宋体" w:hAnsi="宋体"/>
          <w:sz w:val="24"/>
        </w:rPr>
      </w:pP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rPr>
      </w:pPr>
    </w:p>
    <w:p>
      <w:pPr>
        <w:spacing w:line="360" w:lineRule="auto"/>
        <w:rPr>
          <w:rFonts w:hint="eastAsia"/>
        </w:rPr>
      </w:pPr>
    </w:p>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pStyle w:val="2"/>
        <w:numPr>
          <w:ilvl w:val="0"/>
          <w:numId w:val="2"/>
        </w:numPr>
        <w:spacing w:before="0" w:after="0" w:line="240" w:lineRule="auto"/>
        <w:ind w:left="0" w:leftChars="0" w:firstLine="0" w:firstLineChars="0"/>
        <w:jc w:val="center"/>
        <w:rPr>
          <w:rFonts w:hint="eastAsia"/>
          <w:sz w:val="36"/>
          <w:szCs w:val="18"/>
        </w:rPr>
      </w:pPr>
      <w:r>
        <w:rPr>
          <w:rFonts w:hint="eastAsia"/>
          <w:sz w:val="36"/>
          <w:szCs w:val="18"/>
          <w:lang w:val="en-US" w:eastAsia="zh-CN"/>
        </w:rPr>
        <w:t>采购需求</w:t>
      </w:r>
    </w:p>
    <w:bookmarkEnd w:id="295"/>
    <w:bookmarkEnd w:id="296"/>
    <w:bookmarkEnd w:id="297"/>
    <w:bookmarkEnd w:id="298"/>
    <w:p>
      <w:pPr>
        <w:pStyle w:val="4"/>
        <w:spacing w:before="0" w:after="0" w:line="360" w:lineRule="auto"/>
        <w:ind w:firstLine="482" w:firstLineChars="200"/>
        <w:rPr>
          <w:rFonts w:ascii="宋体" w:hAnsi="宋体" w:cs="宋体"/>
          <w:color w:val="auto"/>
          <w:sz w:val="24"/>
          <w:szCs w:val="24"/>
          <w:highlight w:val="none"/>
        </w:rPr>
      </w:pPr>
      <w:bookmarkStart w:id="299" w:name="_Toc523399754"/>
      <w:bookmarkStart w:id="300" w:name="_Toc523400021"/>
      <w:bookmarkStart w:id="301" w:name="_Toc523399852"/>
      <w:bookmarkStart w:id="302" w:name="_Toc368985793"/>
      <w:bookmarkStart w:id="303" w:name="_Toc8207"/>
      <w:bookmarkStart w:id="304" w:name="_Toc1604"/>
      <w:bookmarkStart w:id="305" w:name="_Toc14105"/>
      <w:r>
        <w:rPr>
          <w:rFonts w:hint="eastAsia" w:ascii="宋体" w:hAnsi="宋体" w:cs="宋体"/>
          <w:color w:val="auto"/>
          <w:sz w:val="24"/>
          <w:szCs w:val="24"/>
          <w:highlight w:val="none"/>
        </w:rPr>
        <w:t>一、采购需求前附表：</w:t>
      </w:r>
    </w:p>
    <w:tbl>
      <w:tblPr>
        <w:tblStyle w:val="1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19"/>
              <w:spacing w:before="95"/>
              <w:ind w:left="118" w:right="109"/>
              <w:jc w:val="center"/>
              <w:rPr>
                <w:b/>
                <w:color w:val="auto"/>
                <w:sz w:val="21"/>
                <w:szCs w:val="21"/>
                <w:highlight w:val="none"/>
                <w:lang w:eastAsia="en-US"/>
              </w:rPr>
            </w:pPr>
            <w:r>
              <w:rPr>
                <w:b/>
                <w:color w:val="auto"/>
                <w:sz w:val="21"/>
                <w:szCs w:val="21"/>
                <w:highlight w:val="none"/>
                <w:lang w:eastAsia="en-US"/>
              </w:rPr>
              <w:t>序号</w:t>
            </w:r>
          </w:p>
        </w:tc>
        <w:tc>
          <w:tcPr>
            <w:tcW w:w="2026" w:type="dxa"/>
          </w:tcPr>
          <w:p>
            <w:pPr>
              <w:pStyle w:val="19"/>
              <w:spacing w:before="19"/>
              <w:ind w:left="151" w:right="143"/>
              <w:jc w:val="center"/>
              <w:rPr>
                <w:b/>
                <w:color w:val="auto"/>
                <w:sz w:val="21"/>
                <w:szCs w:val="21"/>
                <w:highlight w:val="none"/>
                <w:lang w:eastAsia="en-US"/>
              </w:rPr>
            </w:pPr>
            <w:r>
              <w:rPr>
                <w:b/>
                <w:color w:val="auto"/>
                <w:sz w:val="21"/>
                <w:szCs w:val="21"/>
                <w:highlight w:val="none"/>
                <w:lang w:eastAsia="en-US"/>
              </w:rPr>
              <w:t>条款名称</w:t>
            </w:r>
          </w:p>
        </w:tc>
        <w:tc>
          <w:tcPr>
            <w:tcW w:w="5468" w:type="dxa"/>
          </w:tcPr>
          <w:p>
            <w:pPr>
              <w:pStyle w:val="19"/>
              <w:spacing w:before="19"/>
              <w:ind w:left="1769"/>
              <w:rPr>
                <w:b/>
                <w:color w:val="auto"/>
                <w:sz w:val="21"/>
                <w:szCs w:val="21"/>
                <w:highlight w:val="none"/>
                <w:lang w:eastAsia="en-US"/>
              </w:rPr>
            </w:pPr>
            <w:r>
              <w:rPr>
                <w:b/>
                <w:color w:val="auto"/>
                <w:sz w:val="21"/>
                <w:szCs w:val="21"/>
                <w:highlight w:val="none"/>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tcPr>
          <w:p>
            <w:pPr>
              <w:pStyle w:val="19"/>
              <w:spacing w:before="95"/>
              <w:ind w:left="9"/>
              <w:jc w:val="center"/>
              <w:rPr>
                <w:color w:val="auto"/>
                <w:sz w:val="21"/>
                <w:szCs w:val="21"/>
                <w:highlight w:val="none"/>
                <w:lang w:eastAsia="en-US"/>
              </w:rPr>
            </w:pPr>
            <w:r>
              <w:rPr>
                <w:color w:val="auto"/>
                <w:sz w:val="21"/>
                <w:szCs w:val="21"/>
                <w:highlight w:val="none"/>
                <w:lang w:eastAsia="en-US"/>
              </w:rPr>
              <w:t>1</w:t>
            </w:r>
          </w:p>
        </w:tc>
        <w:tc>
          <w:tcPr>
            <w:tcW w:w="2026" w:type="dxa"/>
          </w:tcPr>
          <w:p>
            <w:pPr>
              <w:pStyle w:val="19"/>
              <w:spacing w:before="19"/>
              <w:ind w:left="152" w:right="143"/>
              <w:jc w:val="center"/>
              <w:rPr>
                <w:color w:val="auto"/>
                <w:sz w:val="21"/>
                <w:szCs w:val="21"/>
                <w:highlight w:val="none"/>
                <w:lang w:eastAsia="en-US"/>
              </w:rPr>
            </w:pPr>
            <w:r>
              <w:rPr>
                <w:color w:val="auto"/>
                <w:sz w:val="21"/>
                <w:szCs w:val="21"/>
                <w:highlight w:val="none"/>
                <w:lang w:eastAsia="en-US"/>
              </w:rPr>
              <w:t>付款方式</w:t>
            </w:r>
          </w:p>
        </w:tc>
        <w:tc>
          <w:tcPr>
            <w:tcW w:w="5468" w:type="dxa"/>
          </w:tcPr>
          <w:p>
            <w:pPr>
              <w:pStyle w:val="19"/>
              <w:tabs>
                <w:tab w:val="left" w:pos="3043"/>
              </w:tabs>
              <w:spacing w:before="1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验收合格后支付合同价款9</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en-US"/>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en-US"/>
              </w:rPr>
              <w:t>%质保期一年后质保期满后支付</w:t>
            </w:r>
            <w:r>
              <w:rPr>
                <w:rFonts w:hint="eastAsia" w:cs="宋体"/>
                <w:color w:val="auto"/>
                <w:sz w:val="21"/>
                <w:szCs w:val="21"/>
                <w:highlight w:val="none"/>
                <w:lang w:eastAsia="zh-CN"/>
              </w:rPr>
              <w:t>。</w:t>
            </w:r>
          </w:p>
          <w:p>
            <w:pPr>
              <w:pStyle w:val="19"/>
              <w:spacing w:line="20" w:lineRule="exact"/>
              <w:ind w:left="102"/>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19"/>
              <w:spacing w:before="96"/>
              <w:ind w:left="9"/>
              <w:jc w:val="center"/>
              <w:rPr>
                <w:color w:val="auto"/>
                <w:sz w:val="21"/>
                <w:szCs w:val="21"/>
                <w:highlight w:val="none"/>
                <w:lang w:eastAsia="en-US"/>
              </w:rPr>
            </w:pPr>
            <w:r>
              <w:rPr>
                <w:color w:val="auto"/>
                <w:sz w:val="21"/>
                <w:szCs w:val="21"/>
                <w:highlight w:val="none"/>
                <w:lang w:eastAsia="en-US"/>
              </w:rPr>
              <w:t>2</w:t>
            </w:r>
          </w:p>
        </w:tc>
        <w:tc>
          <w:tcPr>
            <w:tcW w:w="2026" w:type="dxa"/>
          </w:tcPr>
          <w:p>
            <w:pPr>
              <w:pStyle w:val="19"/>
              <w:spacing w:before="16"/>
              <w:ind w:left="152" w:right="143"/>
              <w:jc w:val="center"/>
              <w:rPr>
                <w:color w:val="auto"/>
                <w:sz w:val="21"/>
                <w:szCs w:val="21"/>
                <w:highlight w:val="none"/>
                <w:lang w:eastAsia="en-US"/>
              </w:rPr>
            </w:pPr>
            <w:r>
              <w:rPr>
                <w:color w:val="auto"/>
                <w:sz w:val="21"/>
                <w:szCs w:val="21"/>
                <w:highlight w:val="none"/>
                <w:lang w:eastAsia="en-US"/>
              </w:rPr>
              <w:t>供货及安装地点</w:t>
            </w:r>
          </w:p>
        </w:tc>
        <w:tc>
          <w:tcPr>
            <w:tcW w:w="5468" w:type="dxa"/>
          </w:tcPr>
          <w:p>
            <w:pPr>
              <w:pStyle w:val="19"/>
              <w:spacing w:before="8"/>
              <w:rPr>
                <w:b/>
                <w:color w:val="auto"/>
                <w:sz w:val="21"/>
                <w:szCs w:val="21"/>
                <w:highlight w:val="none"/>
              </w:rPr>
            </w:pPr>
            <w:r>
              <w:rPr>
                <w:rFonts w:hint="eastAsia"/>
                <w:color w:val="auto"/>
                <w:sz w:val="21"/>
                <w:szCs w:val="21"/>
                <w:highlight w:val="none"/>
              </w:rPr>
              <w:t>由供应商负责送到采购方指定地点</w:t>
            </w:r>
            <w:r>
              <w:rPr>
                <w:rFonts w:hint="eastAsia"/>
                <w:b/>
                <w:color w:val="auto"/>
                <w:sz w:val="21"/>
                <w:szCs w:val="21"/>
                <w:highlight w:val="none"/>
              </w:rPr>
              <w:t xml:space="preserve">  </w:t>
            </w:r>
          </w:p>
          <w:p>
            <w:pPr>
              <w:pStyle w:val="19"/>
              <w:spacing w:line="20" w:lineRule="exact"/>
              <w:ind w:left="102"/>
              <w:rPr>
                <w:color w:val="auto"/>
                <w:sz w:val="21"/>
                <w:szCs w:val="21"/>
                <w:highlight w:val="none"/>
              </w:rPr>
            </w:pPr>
            <w:r>
              <w:rPr>
                <w:rFonts w:hint="eastAsia"/>
                <w:color w:val="auto"/>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19"/>
              <w:spacing w:before="96"/>
              <w:ind w:left="9"/>
              <w:jc w:val="center"/>
              <w:rPr>
                <w:color w:val="auto"/>
                <w:sz w:val="21"/>
                <w:szCs w:val="21"/>
                <w:highlight w:val="none"/>
                <w:lang w:eastAsia="en-US"/>
              </w:rPr>
            </w:pPr>
            <w:r>
              <w:rPr>
                <w:color w:val="auto"/>
                <w:sz w:val="21"/>
                <w:szCs w:val="21"/>
                <w:highlight w:val="none"/>
                <w:lang w:eastAsia="en-US"/>
              </w:rPr>
              <w:t>3</w:t>
            </w:r>
          </w:p>
        </w:tc>
        <w:tc>
          <w:tcPr>
            <w:tcW w:w="2026" w:type="dxa"/>
          </w:tcPr>
          <w:p>
            <w:pPr>
              <w:pStyle w:val="19"/>
              <w:spacing w:before="19"/>
              <w:ind w:left="152" w:right="143"/>
              <w:jc w:val="center"/>
              <w:rPr>
                <w:color w:val="auto"/>
                <w:sz w:val="21"/>
                <w:szCs w:val="21"/>
                <w:highlight w:val="none"/>
                <w:lang w:eastAsia="en-US"/>
              </w:rPr>
            </w:pPr>
            <w:r>
              <w:rPr>
                <w:color w:val="auto"/>
                <w:sz w:val="21"/>
                <w:szCs w:val="21"/>
                <w:highlight w:val="none"/>
                <w:lang w:eastAsia="en-US"/>
              </w:rPr>
              <w:t>供货及安装期限</w:t>
            </w:r>
          </w:p>
        </w:tc>
        <w:tc>
          <w:tcPr>
            <w:tcW w:w="5468" w:type="dxa"/>
          </w:tcPr>
          <w:p>
            <w:pPr>
              <w:pStyle w:val="19"/>
              <w:tabs>
                <w:tab w:val="left" w:pos="3043"/>
              </w:tabs>
              <w:spacing w:before="19"/>
              <w:rPr>
                <w:color w:val="auto"/>
                <w:sz w:val="21"/>
                <w:szCs w:val="21"/>
                <w:highlight w:val="none"/>
                <w:lang w:eastAsia="en-US"/>
              </w:rPr>
            </w:pPr>
            <w:r>
              <w:rPr>
                <w:rFonts w:hint="eastAsia"/>
                <w:color w:val="auto"/>
                <w:sz w:val="21"/>
                <w:szCs w:val="21"/>
                <w:highlight w:val="none"/>
                <w:lang w:eastAsia="en-US"/>
              </w:rPr>
              <w:t>合同生效后7日历天内免费安装调试完毕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tcPr>
          <w:p>
            <w:pPr>
              <w:pStyle w:val="19"/>
              <w:spacing w:before="96"/>
              <w:ind w:left="9"/>
              <w:jc w:val="center"/>
              <w:rPr>
                <w:color w:val="auto"/>
                <w:sz w:val="21"/>
                <w:szCs w:val="21"/>
                <w:highlight w:val="none"/>
                <w:lang w:eastAsia="en-US"/>
              </w:rPr>
            </w:pPr>
            <w:r>
              <w:rPr>
                <w:color w:val="auto"/>
                <w:sz w:val="21"/>
                <w:szCs w:val="21"/>
                <w:highlight w:val="none"/>
                <w:lang w:eastAsia="en-US"/>
              </w:rPr>
              <w:t>4</w:t>
            </w:r>
          </w:p>
        </w:tc>
        <w:tc>
          <w:tcPr>
            <w:tcW w:w="2026" w:type="dxa"/>
          </w:tcPr>
          <w:p>
            <w:pPr>
              <w:pStyle w:val="19"/>
              <w:spacing w:before="19"/>
              <w:ind w:left="152" w:right="143"/>
              <w:jc w:val="center"/>
              <w:rPr>
                <w:color w:val="auto"/>
                <w:sz w:val="21"/>
                <w:szCs w:val="21"/>
                <w:highlight w:val="none"/>
                <w:lang w:eastAsia="en-US"/>
              </w:rPr>
            </w:pPr>
            <w:r>
              <w:rPr>
                <w:color w:val="auto"/>
                <w:sz w:val="21"/>
                <w:szCs w:val="21"/>
                <w:highlight w:val="none"/>
                <w:lang w:eastAsia="en-US"/>
              </w:rPr>
              <w:t>免费质保期</w:t>
            </w:r>
          </w:p>
        </w:tc>
        <w:tc>
          <w:tcPr>
            <w:tcW w:w="5468" w:type="dxa"/>
          </w:tcPr>
          <w:p>
            <w:pPr>
              <w:pStyle w:val="19"/>
              <w:tabs>
                <w:tab w:val="left" w:pos="3523"/>
              </w:tabs>
              <w:spacing w:before="19"/>
              <w:ind w:left="108"/>
              <w:rPr>
                <w:color w:val="auto"/>
                <w:sz w:val="21"/>
                <w:szCs w:val="21"/>
                <w:highlight w:val="none"/>
                <w:lang w:eastAsia="en-US"/>
              </w:rPr>
            </w:pPr>
            <w:r>
              <w:rPr>
                <w:color w:val="auto"/>
                <w:sz w:val="21"/>
                <w:szCs w:val="21"/>
                <w:highlight w:val="none"/>
                <w:lang w:eastAsia="en-US"/>
              </w:rPr>
              <w:t>验收合格之日起</w:t>
            </w:r>
            <w:r>
              <w:rPr>
                <w:color w:val="auto"/>
                <w:sz w:val="21"/>
                <w:szCs w:val="21"/>
                <w:highlight w:val="none"/>
                <w:u w:val="single"/>
                <w:lang w:eastAsia="en-US"/>
              </w:rPr>
              <w:t xml:space="preserve"> 1</w:t>
            </w:r>
            <w:r>
              <w:rPr>
                <w:rFonts w:hint="eastAsia"/>
                <w:color w:val="auto"/>
                <w:sz w:val="21"/>
                <w:szCs w:val="21"/>
                <w:highlight w:val="none"/>
                <w:u w:val="single"/>
              </w:rPr>
              <w:t xml:space="preserve">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19"/>
              <w:spacing w:before="96"/>
              <w:ind w:left="9"/>
              <w:jc w:val="center"/>
              <w:rPr>
                <w:color w:val="auto"/>
                <w:sz w:val="21"/>
                <w:szCs w:val="21"/>
                <w:highlight w:val="none"/>
                <w:lang w:eastAsia="en-US"/>
              </w:rPr>
            </w:pPr>
            <w:r>
              <w:rPr>
                <w:color w:val="auto"/>
                <w:sz w:val="21"/>
                <w:szCs w:val="21"/>
                <w:highlight w:val="none"/>
                <w:lang w:eastAsia="en-US"/>
              </w:rPr>
              <w:t>5</w:t>
            </w:r>
          </w:p>
        </w:tc>
        <w:tc>
          <w:tcPr>
            <w:tcW w:w="2026" w:type="dxa"/>
          </w:tcPr>
          <w:p>
            <w:pPr>
              <w:pStyle w:val="19"/>
              <w:spacing w:before="17"/>
              <w:ind w:left="152" w:right="143"/>
              <w:rPr>
                <w:color w:val="auto"/>
                <w:sz w:val="21"/>
                <w:szCs w:val="21"/>
                <w:highlight w:val="none"/>
              </w:rPr>
            </w:pPr>
            <w:r>
              <w:rPr>
                <w:color w:val="auto"/>
                <w:highlight w:val="none"/>
              </w:rPr>
              <w:t xml:space="preserve">   </w:t>
            </w:r>
          </w:p>
        </w:tc>
        <w:tc>
          <w:tcPr>
            <w:tcW w:w="5468" w:type="dxa"/>
          </w:tcPr>
          <w:p>
            <w:pPr>
              <w:pStyle w:val="19"/>
              <w:spacing w:before="17"/>
              <w:ind w:left="108"/>
              <w:rPr>
                <w:color w:val="auto"/>
                <w:sz w:val="21"/>
                <w:szCs w:val="21"/>
                <w:highlight w:val="none"/>
              </w:rPr>
            </w:pPr>
            <w:r>
              <w:rPr>
                <w:color w:val="auto"/>
                <w:highlight w:val="none"/>
              </w:rPr>
              <w:t xml:space="preserve">   </w:t>
            </w:r>
          </w:p>
        </w:tc>
      </w:tr>
    </w:tbl>
    <w:p>
      <w:pPr>
        <w:pStyle w:val="9"/>
        <w:spacing w:line="360" w:lineRule="auto"/>
        <w:ind w:firstLine="480" w:firstLineChars="200"/>
        <w:rPr>
          <w:rFonts w:hAnsi="宋体" w:cs="宋体"/>
          <w:color w:val="auto"/>
          <w:sz w:val="24"/>
          <w:szCs w:val="24"/>
          <w:highlight w:val="none"/>
          <w:lang w:val="zh-CN"/>
        </w:rPr>
      </w:pPr>
    </w:p>
    <w:p>
      <w:pPr>
        <w:pStyle w:val="4"/>
        <w:numPr>
          <w:ilvl w:val="0"/>
          <w:numId w:val="4"/>
        </w:numPr>
        <w:spacing w:before="0" w:after="0" w:line="360" w:lineRule="auto"/>
        <w:ind w:firstLine="482" w:firstLineChars="200"/>
        <w:rPr>
          <w:rFonts w:ascii="宋体" w:hAnsi="宋体" w:cs="宋体"/>
          <w:color w:val="auto"/>
          <w:sz w:val="24"/>
          <w:szCs w:val="24"/>
          <w:highlight w:val="none"/>
        </w:rPr>
      </w:pPr>
      <w:r>
        <w:rPr>
          <w:rFonts w:hint="eastAsia" w:ascii="宋体" w:hAnsi="宋体" w:cs="宋体"/>
          <w:color w:val="auto"/>
          <w:sz w:val="24"/>
          <w:szCs w:val="24"/>
          <w:highlight w:val="none"/>
        </w:rPr>
        <w:t>货物需求：</w:t>
      </w:r>
    </w:p>
    <w:tbl>
      <w:tblPr>
        <w:tblStyle w:val="16"/>
        <w:tblpPr w:leftFromText="180" w:rightFromText="180" w:vertAnchor="text" w:horzAnchor="page" w:tblpX="1095" w:tblpY="951"/>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1080"/>
        <w:gridCol w:w="2466"/>
        <w:gridCol w:w="900"/>
        <w:gridCol w:w="1133"/>
        <w:gridCol w:w="3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规格及型号（mm）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实验家具部分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石膏室</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5"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实验边台</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L*750*800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8.96</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12.7mm厚实芯理化板台面（灰白色或黑色</w:t>
            </w:r>
            <w:r>
              <w:rPr>
                <w:rStyle w:val="23"/>
                <w:sz w:val="20"/>
                <w:szCs w:val="20"/>
                <w:lang w:val="en-US" w:eastAsia="zh-CN" w:bidi="ar"/>
              </w:rPr>
              <w:t>），柜体（由甲方指定颜 色）为全钢材质，能独立成型，采用宝钢1.0mm冷轧钢板，经裁剪   、焊接、打磨后酸洗磷化，双面环氧树脂粉末喷涂后高温固化处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理，304不锈钢拉手及合页，DTC三级静音导轨，0-30mm调整脚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转角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1000*1000*800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钢制插座盒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200*100*70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钢制，每个含10A/16A插座2只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水槽台含龙头</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1000*750*800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水槽为</w:t>
            </w:r>
            <w:r>
              <w:rPr>
                <w:rStyle w:val="23"/>
                <w:sz w:val="20"/>
                <w:szCs w:val="20"/>
                <w:lang w:val="en-US" w:eastAsia="zh-CN" w:bidi="ar"/>
              </w:rPr>
              <w:t>PP材质，三口铜质鹅颈实验室专用龙头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配合比室</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实验边台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L*750*800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同上边台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钢制插座盒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200*100*70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钢制，每个含10A/16A插座2只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色谱室</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实验边台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L*750*800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同上边台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转角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1000*1000*800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钢制插座盒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200*100*70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钢制，每个含10A/16A插座2只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水槽台含龙头</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1000*750*800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水槽为</w:t>
            </w:r>
            <w:r>
              <w:rPr>
                <w:rStyle w:val="23"/>
                <w:sz w:val="20"/>
                <w:szCs w:val="20"/>
                <w:lang w:val="en-US" w:eastAsia="zh-CN" w:bidi="ar"/>
              </w:rPr>
              <w:t>PP材质，三口铜质鹅颈实验室专用龙头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万向抽气罩</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φ</w:t>
            </w:r>
            <w:r>
              <w:rPr>
                <w:rStyle w:val="23"/>
                <w:sz w:val="20"/>
                <w:szCs w:val="20"/>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w:t>
            </w:r>
            <w:r>
              <w:rPr>
                <w:rStyle w:val="23"/>
                <w:sz w:val="20"/>
                <w:szCs w:val="20"/>
                <w:lang w:val="en-US" w:eastAsia="zh-CN" w:bidi="ar"/>
              </w:rPr>
              <w:t>材质，带顶盘，360度旋转，铝合金接头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气瓶柜</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900*450*1800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光谱室</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实验边台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L*750*800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同上边台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转角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1000*1000*800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钢制插座盒</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200*100*70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钢制，每个含10A/16A插座2只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万向抽气罩</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φ</w:t>
            </w:r>
            <w:r>
              <w:rPr>
                <w:rStyle w:val="23"/>
                <w:sz w:val="20"/>
                <w:szCs w:val="20"/>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w:t>
            </w:r>
            <w:r>
              <w:rPr>
                <w:rStyle w:val="23"/>
                <w:sz w:val="20"/>
                <w:szCs w:val="20"/>
                <w:lang w:val="en-US" w:eastAsia="zh-CN" w:bidi="ar"/>
              </w:rPr>
              <w:t>材质，带顶盘，360度旋转，铝合金接头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排风系统</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排风系统</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36"/>
                <w:szCs w:val="3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含离心风机、</w:t>
            </w:r>
            <w:r>
              <w:rPr>
                <w:rStyle w:val="23"/>
                <w:sz w:val="20"/>
                <w:szCs w:val="20"/>
                <w:lang w:val="en-US" w:eastAsia="zh-CN" w:bidi="ar"/>
              </w:rPr>
              <w:t>PP风管、开孔等，不含活性炭箱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1"/>
                <w:szCs w:val="21"/>
                <w:u w:val="none"/>
              </w:rPr>
            </w:pPr>
            <w:r>
              <w:rPr>
                <w:rFonts w:hint="eastAsia" w:ascii="黑体" w:hAnsi="宋体" w:eastAsia="黑体" w:cs="黑体"/>
                <w:i w:val="0"/>
                <w:iCs w:val="0"/>
                <w:color w:val="FF0000"/>
                <w:kern w:val="0"/>
                <w:sz w:val="21"/>
                <w:szCs w:val="21"/>
                <w:u w:val="none"/>
                <w:lang w:val="en-US" w:eastAsia="zh-CN" w:bidi="ar"/>
              </w:rPr>
              <w:t>高纯气体管路</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4"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气体管路</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1/4 </w:t>
            </w:r>
            <w:r>
              <w:rPr>
                <w:rStyle w:val="23"/>
                <w:sz w:val="20"/>
                <w:szCs w:val="20"/>
                <w:lang w:val="en-US" w:eastAsia="zh-CN" w:bidi="ar"/>
              </w:rPr>
              <w:t xml:space="preserve"> 316L不锈钢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含一级、二级减压器及316L的不锈钢管道及各类接头与阀门</w:t>
            </w:r>
          </w:p>
        </w:tc>
      </w:tr>
    </w:tbl>
    <w:p>
      <w:pPr>
        <w:pStyle w:val="4"/>
        <w:spacing w:before="0" w:after="0" w:line="360" w:lineRule="auto"/>
        <w:ind w:firstLine="482" w:firstLineChars="200"/>
        <w:rPr>
          <w:rFonts w:ascii="宋体" w:hAnsi="宋体" w:cs="宋体"/>
          <w:color w:val="auto"/>
          <w:sz w:val="24"/>
          <w:szCs w:val="24"/>
          <w:highlight w:val="none"/>
        </w:rPr>
      </w:pPr>
      <w:r>
        <w:rPr>
          <w:rFonts w:hint="eastAsia" w:ascii="宋体" w:hAnsi="宋体" w:cs="宋体"/>
          <w:color w:val="auto"/>
          <w:sz w:val="24"/>
          <w:szCs w:val="24"/>
          <w:highlight w:val="none"/>
        </w:rPr>
        <w:t>三、报价要求：</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1、报价方式：</w:t>
      </w:r>
      <w:r>
        <w:rPr>
          <w:rFonts w:hint="default"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630" w:firstLineChars="30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（1）☑总价报价：                 ；</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（2）□费率报价：                 ；</w:t>
      </w:r>
      <w:r>
        <w:rPr>
          <w:rFonts w:hint="default"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（3）□单价报价：                 ；</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（4）□其他：                     ；</w:t>
      </w:r>
      <w:r>
        <w:rPr>
          <w:rFonts w:hint="default"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备注：说明内容按照采购项目实际情况自行填写。</w:t>
      </w:r>
    </w:p>
    <w:p>
      <w:pPr>
        <w:pStyle w:val="6"/>
        <w:keepNext w:val="0"/>
        <w:keepLines w:val="0"/>
        <w:pageBreakBefore w:val="0"/>
        <w:numPr>
          <w:ilvl w:val="0"/>
          <w:numId w:val="0"/>
        </w:numPr>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2、本项目响应报价应包含所投货物发生的一切费用。</w:t>
      </w:r>
    </w:p>
    <w:p>
      <w:pPr>
        <w:keepNext w:val="0"/>
        <w:keepLines w:val="0"/>
        <w:widowControl/>
        <w:suppressLineNumbers w:val="0"/>
        <w:spacing w:before="0" w:beforeAutospacing="0" w:after="0" w:afterAutospacing="0" w:line="360" w:lineRule="auto"/>
        <w:ind w:left="0" w:right="0" w:firstLine="630" w:firstLineChars="300"/>
        <w:jc w:val="both"/>
        <w:rPr>
          <w:rFonts w:hint="eastAsia" w:ascii="宋体" w:hAnsi="宋体" w:eastAsia="宋体" w:cs="宋体"/>
          <w:color w:val="auto"/>
          <w:kern w:val="0"/>
          <w:sz w:val="21"/>
          <w:szCs w:val="21"/>
          <w:highlight w:val="none"/>
          <w:lang w:val="en-US" w:eastAsia="zh-CN" w:bidi="ar"/>
        </w:rPr>
      </w:pPr>
    </w:p>
    <w:p>
      <w:pPr>
        <w:pStyle w:val="4"/>
        <w:spacing w:before="0" w:after="0" w:line="360" w:lineRule="auto"/>
        <w:ind w:firstLine="482" w:firstLineChars="200"/>
        <w:rPr>
          <w:color w:val="auto"/>
          <w:highlight w:val="none"/>
        </w:rPr>
      </w:pPr>
      <w:r>
        <w:rPr>
          <w:rFonts w:hint="eastAsia" w:ascii="宋体" w:hAnsi="宋体" w:cs="宋体"/>
          <w:color w:val="auto"/>
          <w:sz w:val="24"/>
          <w:szCs w:val="24"/>
          <w:highlight w:val="none"/>
        </w:rPr>
        <w:t>四、其他要求</w:t>
      </w:r>
    </w:p>
    <w:p>
      <w:pPr>
        <w:pStyle w:val="6"/>
        <w:keepNext w:val="0"/>
        <w:keepLines w:val="0"/>
        <w:pageBreakBefore w:val="0"/>
        <w:numPr>
          <w:ilvl w:val="0"/>
          <w:numId w:val="0"/>
        </w:numPr>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1.货物必须是原厂原装、凡由于包装不良造成的损失和由此产生的费用均由成交供应商承担。</w:t>
      </w:r>
    </w:p>
    <w:p>
      <w:pPr>
        <w:pStyle w:val="6"/>
        <w:keepNext w:val="0"/>
        <w:keepLines w:val="0"/>
        <w:pageBreakBefore w:val="0"/>
        <w:numPr>
          <w:ilvl w:val="0"/>
          <w:numId w:val="0"/>
        </w:numPr>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2.验收时如发现虚假应标或多次验收不合格由此产生的一切责任均有供应商自行承担。</w:t>
      </w:r>
    </w:p>
    <w:p>
      <w:pPr>
        <w:pStyle w:val="6"/>
        <w:keepNext w:val="0"/>
        <w:keepLines w:val="0"/>
        <w:pageBreakBefore w:val="0"/>
        <w:numPr>
          <w:ilvl w:val="0"/>
          <w:numId w:val="0"/>
        </w:numPr>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3.供应商必须确保在规定的期限内保质保量完成供货、安装等全部工作内容。</w:t>
      </w:r>
    </w:p>
    <w:p>
      <w:pPr>
        <w:pStyle w:val="6"/>
        <w:keepNext w:val="0"/>
        <w:keepLines w:val="0"/>
        <w:pageBreakBefore w:val="0"/>
        <w:numPr>
          <w:ilvl w:val="0"/>
          <w:numId w:val="0"/>
        </w:numPr>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4.在质保期内，因成交供应商自身产品和安装质量原因而出现的质量问题由成交供应商负责包修、 包换或包退，并承担修理，调换或退货的实际费用。</w:t>
      </w:r>
    </w:p>
    <w:p>
      <w:pPr>
        <w:pStyle w:val="9"/>
        <w:rPr>
          <w:color w:val="auto"/>
          <w:highlight w:val="none"/>
        </w:rPr>
      </w:pPr>
    </w:p>
    <w:p>
      <w:pPr>
        <w:pStyle w:val="9"/>
        <w:rPr>
          <w:color w:val="auto"/>
          <w:highlight w:val="none"/>
        </w:rPr>
      </w:pPr>
    </w:p>
    <w:p>
      <w:pPr>
        <w:pStyle w:val="9"/>
        <w:rPr>
          <w:color w:val="auto"/>
          <w:highlight w:val="none"/>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both"/>
        <w:outlineLvl w:val="0"/>
        <w:rPr>
          <w:rStyle w:val="18"/>
          <w:rFonts w:hint="eastAsia"/>
        </w:rPr>
      </w:pPr>
    </w:p>
    <w:p>
      <w:pPr>
        <w:jc w:val="center"/>
        <w:outlineLvl w:val="0"/>
        <w:rPr>
          <w:rFonts w:cs="黑体"/>
          <w:b/>
          <w:sz w:val="32"/>
          <w:szCs w:val="32"/>
        </w:rPr>
      </w:pPr>
      <w:r>
        <w:rPr>
          <w:rStyle w:val="18"/>
          <w:rFonts w:hint="eastAsia"/>
        </w:rPr>
        <w:t>第</w:t>
      </w:r>
      <w:r>
        <w:rPr>
          <w:rStyle w:val="18"/>
          <w:rFonts w:hint="eastAsia"/>
          <w:lang w:eastAsia="zh-CN"/>
        </w:rPr>
        <w:t>六</w:t>
      </w:r>
      <w:r>
        <w:rPr>
          <w:rStyle w:val="18"/>
          <w:rFonts w:hint="eastAsia"/>
        </w:rPr>
        <w:t>章  技术标准和要求</w:t>
      </w:r>
      <w:bookmarkEnd w:id="299"/>
      <w:bookmarkEnd w:id="300"/>
      <w:bookmarkEnd w:id="301"/>
      <w:bookmarkEnd w:id="302"/>
      <w:bookmarkEnd w:id="303"/>
      <w:bookmarkEnd w:id="304"/>
      <w:bookmarkEnd w:id="305"/>
    </w:p>
    <w:p/>
    <w:p>
      <w:pPr>
        <w:spacing w:line="360" w:lineRule="auto"/>
        <w:jc w:val="left"/>
        <w:rPr>
          <w:rFonts w:ascii="宋体" w:hAnsi="宋体" w:cs="楷体_GB2312"/>
          <w:b/>
          <w:bCs/>
          <w:color w:val="000000"/>
        </w:rPr>
      </w:pPr>
      <w:r>
        <w:rPr>
          <w:rFonts w:hint="eastAsia" w:ascii="宋体" w:hAnsi="宋体" w:cs="楷体_GB2312"/>
          <w:b/>
          <w:bCs/>
          <w:color w:val="000000"/>
        </w:rPr>
        <w:t>一、一般标准和技术规范</w:t>
      </w:r>
    </w:p>
    <w:p>
      <w:pPr>
        <w:spacing w:line="360" w:lineRule="auto"/>
        <w:rPr>
          <w:rFonts w:hint="eastAsia" w:ascii="宋体" w:hAnsi="宋体" w:cs="仿宋_GB2312"/>
          <w:b/>
          <w:bCs/>
          <w:color w:val="000000"/>
        </w:rPr>
      </w:pPr>
      <w:r>
        <w:rPr>
          <w:rFonts w:hint="eastAsia" w:ascii="宋体" w:hAnsi="宋体" w:cs="仿宋_GB2312"/>
          <w:b/>
          <w:bCs/>
          <w:color w:val="000000"/>
        </w:rPr>
        <w:t>1.一般标准和技术规范</w:t>
      </w:r>
    </w:p>
    <w:p>
      <w:pPr>
        <w:rPr>
          <w:rFonts w:hint="eastAsia"/>
          <w:b/>
          <w:bCs/>
        </w:rPr>
      </w:pPr>
      <w:r>
        <w:t>1.1</w:t>
      </w:r>
      <w:r>
        <w:rPr>
          <w:rFonts w:hint="eastAsia"/>
        </w:rPr>
        <w:t>本招标工程的材料、设备、施工必须符合现行国家、行业及工程所在地地方标准和技术规范的要求。</w:t>
      </w:r>
    </w:p>
    <w:p>
      <w:pPr>
        <w:spacing w:line="360" w:lineRule="auto"/>
        <w:jc w:val="left"/>
        <w:rPr>
          <w:rFonts w:ascii="宋体" w:hAnsi="宋体" w:cs="楷体_GB2312"/>
          <w:b/>
          <w:bCs/>
          <w:color w:val="000000"/>
        </w:rPr>
      </w:pPr>
      <w:r>
        <w:rPr>
          <w:rFonts w:hint="eastAsia" w:ascii="宋体" w:hAnsi="宋体" w:cs="楷体_GB2312"/>
          <w:b/>
          <w:bCs/>
          <w:color w:val="000000"/>
        </w:rPr>
        <w:t>二、特殊标准和技术规范</w:t>
      </w:r>
    </w:p>
    <w:p>
      <w:pPr>
        <w:spacing w:line="360" w:lineRule="auto"/>
        <w:rPr>
          <w:rFonts w:hint="eastAsia" w:ascii="宋体" w:hAnsi="宋体" w:cs="仿宋_GB2312"/>
          <w:b/>
          <w:bCs/>
          <w:color w:val="000000"/>
        </w:rPr>
      </w:pPr>
      <w:r>
        <w:rPr>
          <w:rFonts w:hint="eastAsia" w:ascii="宋体" w:hAnsi="宋体" w:cs="仿宋_GB2312"/>
          <w:b/>
          <w:bCs/>
          <w:color w:val="000000"/>
        </w:rPr>
        <w:t>2.特殊标准和技术规范</w:t>
      </w:r>
    </w:p>
    <w:p>
      <w:pPr>
        <w:rPr>
          <w:rFonts w:hint="eastAsia"/>
          <w:b/>
          <w:bCs/>
        </w:rPr>
      </w:pPr>
      <w:r>
        <w:t>2.1</w:t>
      </w:r>
      <w:r>
        <w:rPr>
          <w:rFonts w:hint="eastAsia"/>
        </w:rPr>
        <w:t>根据设计要求，本招标工程中下列材料、设备、施工必须相应符合下列标准和技术规范的要求（列出特殊的材料、设备、施工及相应标准和技术规范名称）：</w:t>
      </w:r>
    </w:p>
    <w:p>
      <w:pPr>
        <w:spacing w:line="360" w:lineRule="auto"/>
        <w:rPr>
          <w:rFonts w:ascii="宋体" w:hAnsi="宋体"/>
          <w:color w:val="000000"/>
          <w:u w:val="single"/>
        </w:rPr>
      </w:pPr>
      <w:r>
        <w:rPr>
          <w:rFonts w:hint="eastAsia" w:ascii="宋体" w:hAnsi="宋体"/>
          <w:color w:val="000000"/>
        </w:rPr>
        <w:t xml:space="preserve"> </w:t>
      </w:r>
      <w:r>
        <w:rPr>
          <w:rFonts w:hint="eastAsia" w:ascii="宋体" w:hAnsi="宋体"/>
          <w:color w:val="000000"/>
          <w:u w:val="single"/>
        </w:rPr>
        <w:t xml:space="preserve">        /                    </w:t>
      </w:r>
    </w:p>
    <w:p>
      <w:pPr>
        <w:spacing w:line="360" w:lineRule="auto"/>
        <w:jc w:val="left"/>
        <w:rPr>
          <w:rFonts w:hint="eastAsia" w:ascii="宋体" w:hAnsi="宋体" w:cs="楷体_GB2312"/>
          <w:b/>
          <w:bCs/>
          <w:color w:val="000000"/>
        </w:rPr>
      </w:pPr>
      <w:r>
        <w:rPr>
          <w:rFonts w:hint="eastAsia" w:ascii="宋体" w:hAnsi="宋体" w:cs="楷体_GB2312"/>
          <w:b/>
          <w:bCs/>
          <w:color w:val="000000"/>
        </w:rPr>
        <w:t>三、工程技术要求</w:t>
      </w:r>
    </w:p>
    <w:p>
      <w:pPr>
        <w:spacing w:line="360" w:lineRule="auto"/>
        <w:rPr>
          <w:rFonts w:hint="eastAsia" w:ascii="宋体" w:hAnsi="宋体"/>
          <w:color w:val="000000"/>
          <w:u w:val="single"/>
        </w:rPr>
      </w:pPr>
      <w:r>
        <w:rPr>
          <w:rFonts w:hint="eastAsia" w:ascii="宋体" w:hAnsi="宋体"/>
          <w:color w:val="000000"/>
          <w:u w:val="single"/>
        </w:rPr>
        <w:t xml:space="preserve">        /                    </w:t>
      </w:r>
    </w:p>
    <w:p>
      <w:pPr>
        <w:pStyle w:val="15"/>
        <w:ind w:left="0" w:leftChars="0" w:firstLine="0" w:firstLineChars="0"/>
        <w:rPr>
          <w:rFonts w:hint="eastAsia"/>
          <w:b/>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15"/>
        <w:ind w:left="0" w:leftChars="0" w:firstLine="0" w:firstLineChars="0"/>
        <w:rPr>
          <w:rFonts w:hint="eastAsia" w:ascii="宋体" w:hAnsi="宋体" w:eastAsia="宋体" w:cs="宋体"/>
          <w:color w:val="000000"/>
          <w:kern w:val="0"/>
          <w:sz w:val="24"/>
          <w:szCs w:val="24"/>
        </w:rPr>
      </w:pPr>
    </w:p>
    <w:p>
      <w:pPr>
        <w:pStyle w:val="2"/>
        <w:jc w:val="center"/>
        <w:rPr>
          <w:rFonts w:hint="eastAsia"/>
        </w:rPr>
      </w:pPr>
      <w:bookmarkStart w:id="306" w:name="_Toc24364"/>
      <w:r>
        <w:rPr>
          <w:rFonts w:hint="eastAsia"/>
        </w:rPr>
        <w:t>第</w:t>
      </w:r>
      <w:r>
        <w:rPr>
          <w:rFonts w:hint="eastAsia"/>
          <w:lang w:eastAsia="zh-CN"/>
        </w:rPr>
        <w:t>七</w:t>
      </w:r>
      <w:r>
        <w:rPr>
          <w:rFonts w:hint="eastAsia"/>
        </w:rPr>
        <w:t xml:space="preserve">章 </w:t>
      </w:r>
      <w:r>
        <w:rPr>
          <w:rFonts w:hint="eastAsia"/>
          <w:lang w:val="en-US" w:eastAsia="zh-CN"/>
        </w:rPr>
        <w:t xml:space="preserve"> </w:t>
      </w:r>
      <w:r>
        <w:rPr>
          <w:rFonts w:hint="eastAsia"/>
        </w:rPr>
        <w:t>响应文件格式</w:t>
      </w:r>
      <w:bookmarkEnd w:id="306"/>
    </w:p>
    <w:p>
      <w:pPr>
        <w:pStyle w:val="5"/>
        <w:ind w:firstLine="420"/>
        <w:rPr>
          <w:rFonts w:hint="eastAsia"/>
          <w:b/>
          <w:sz w:val="28"/>
          <w:szCs w:val="28"/>
        </w:rPr>
      </w:pPr>
      <w:r>
        <w:rPr>
          <w:rFonts w:hint="eastAsia"/>
        </w:rPr>
        <w:t xml:space="preserve">                                                               </w:t>
      </w:r>
      <w:r>
        <w:rPr>
          <w:rFonts w:hint="eastAsia"/>
          <w:b/>
          <w:sz w:val="28"/>
          <w:szCs w:val="28"/>
        </w:rPr>
        <w:t>正本/副本</w:t>
      </w:r>
    </w:p>
    <w:p>
      <w:pPr>
        <w:autoSpaceDE w:val="0"/>
        <w:autoSpaceDN w:val="0"/>
        <w:adjustRightInd w:val="0"/>
        <w:snapToGrid w:val="0"/>
        <w:spacing w:line="360" w:lineRule="auto"/>
        <w:jc w:val="center"/>
        <w:rPr>
          <w:rFonts w:hint="eastAsia" w:ascii="宋体" w:hAnsi="宋体" w:cs="宋体"/>
          <w:b/>
          <w:color w:val="000000"/>
          <w:kern w:val="0"/>
          <w:sz w:val="44"/>
          <w:szCs w:val="44"/>
        </w:rPr>
      </w:pPr>
    </w:p>
    <w:p>
      <w:pPr>
        <w:autoSpaceDE w:val="0"/>
        <w:autoSpaceDN w:val="0"/>
        <w:adjustRightInd w:val="0"/>
        <w:snapToGrid w:val="0"/>
        <w:spacing w:line="360" w:lineRule="auto"/>
        <w:jc w:val="center"/>
        <w:rPr>
          <w:rFonts w:hint="eastAsia"/>
          <w:b/>
          <w:bCs/>
          <w:sz w:val="44"/>
          <w:szCs w:val="44"/>
        </w:rPr>
      </w:pPr>
      <w:r>
        <w:rPr>
          <w:rFonts w:hint="eastAsia"/>
          <w:b/>
          <w:bCs/>
          <w:sz w:val="44"/>
          <w:szCs w:val="44"/>
        </w:rPr>
        <w:t>（项目名称）</w:t>
      </w:r>
    </w:p>
    <w:p>
      <w:pPr>
        <w:autoSpaceDE w:val="0"/>
        <w:autoSpaceDN w:val="0"/>
        <w:adjustRightInd w:val="0"/>
        <w:snapToGrid w:val="0"/>
        <w:spacing w:line="360" w:lineRule="auto"/>
        <w:jc w:val="center"/>
        <w:rPr>
          <w:rFonts w:hint="eastAsia" w:ascii="宋体" w:cs="宋体"/>
          <w:b/>
          <w:spacing w:val="20"/>
          <w:kern w:val="0"/>
          <w:sz w:val="90"/>
          <w:szCs w:val="90"/>
        </w:rPr>
      </w:pPr>
      <w:r>
        <w:rPr>
          <w:rFonts w:hint="eastAsia" w:ascii="宋体" w:cs="宋体"/>
          <w:b/>
          <w:spacing w:val="20"/>
          <w:kern w:val="0"/>
          <w:sz w:val="90"/>
          <w:szCs w:val="90"/>
        </w:rPr>
        <w:t>响  应 文 件</w:t>
      </w:r>
    </w:p>
    <w:p>
      <w:pPr>
        <w:autoSpaceDE w:val="0"/>
        <w:autoSpaceDN w:val="0"/>
        <w:adjustRightInd w:val="0"/>
        <w:snapToGrid w:val="0"/>
        <w:spacing w:line="360" w:lineRule="auto"/>
        <w:ind w:firstLine="1445" w:firstLineChars="400"/>
        <w:rPr>
          <w:rFonts w:hint="eastAsia" w:ascii="宋体" w:cs="宋体"/>
          <w:b/>
          <w:spacing w:val="20"/>
          <w:kern w:val="0"/>
          <w:sz w:val="32"/>
          <w:szCs w:val="44"/>
        </w:rPr>
      </w:pPr>
      <w:r>
        <w:rPr>
          <w:rFonts w:hint="eastAsia" w:ascii="宋体" w:cs="宋体"/>
          <w:b/>
          <w:spacing w:val="20"/>
          <w:kern w:val="0"/>
          <w:sz w:val="32"/>
          <w:szCs w:val="44"/>
        </w:rPr>
        <w:t>项目编号</w:t>
      </w:r>
      <w:r>
        <w:rPr>
          <w:rFonts w:hint="eastAsia"/>
          <w:sz w:val="24"/>
        </w:rPr>
        <w:t>：</w:t>
      </w:r>
    </w:p>
    <w:p>
      <w:pPr>
        <w:autoSpaceDE w:val="0"/>
        <w:autoSpaceDN w:val="0"/>
        <w:adjustRightInd w:val="0"/>
        <w:snapToGrid w:val="0"/>
        <w:spacing w:line="360" w:lineRule="auto"/>
        <w:ind w:left="181" w:hanging="181" w:hangingChars="50"/>
        <w:rPr>
          <w:rFonts w:hint="eastAsia" w:ascii="宋体" w:cs="宋体"/>
          <w:b/>
          <w:spacing w:val="20"/>
          <w:kern w:val="0"/>
          <w:sz w:val="32"/>
          <w:szCs w:val="44"/>
        </w:rPr>
      </w:pPr>
    </w:p>
    <w:p>
      <w:pPr>
        <w:autoSpaceDE w:val="0"/>
        <w:autoSpaceDN w:val="0"/>
        <w:adjustRightInd w:val="0"/>
        <w:snapToGrid w:val="0"/>
        <w:spacing w:line="360" w:lineRule="auto"/>
        <w:ind w:left="181" w:hanging="181" w:hangingChars="50"/>
        <w:rPr>
          <w:rFonts w:hint="eastAsia" w:ascii="宋体" w:cs="宋体"/>
          <w:b/>
          <w:spacing w:val="20"/>
          <w:kern w:val="0"/>
          <w:sz w:val="32"/>
          <w:szCs w:val="44"/>
        </w:rPr>
      </w:pPr>
    </w:p>
    <w:p>
      <w:pPr>
        <w:autoSpaceDE w:val="0"/>
        <w:autoSpaceDN w:val="0"/>
        <w:adjustRightInd w:val="0"/>
        <w:snapToGrid w:val="0"/>
        <w:spacing w:line="360" w:lineRule="auto"/>
        <w:rPr>
          <w:rFonts w:hint="eastAsia" w:ascii="宋体" w:cs="宋体"/>
          <w:b/>
          <w:spacing w:val="20"/>
          <w:kern w:val="0"/>
          <w:sz w:val="32"/>
          <w:szCs w:val="44"/>
        </w:rPr>
      </w:pPr>
    </w:p>
    <w:p>
      <w:pPr>
        <w:autoSpaceDE w:val="0"/>
        <w:autoSpaceDN w:val="0"/>
        <w:adjustRightInd w:val="0"/>
        <w:snapToGrid w:val="0"/>
        <w:spacing w:line="360" w:lineRule="auto"/>
        <w:ind w:left="181" w:hanging="181" w:hangingChars="50"/>
        <w:rPr>
          <w:rFonts w:hint="eastAsia" w:ascii="宋体" w:cs="宋体"/>
          <w:b/>
          <w:spacing w:val="20"/>
          <w:kern w:val="0"/>
          <w:sz w:val="32"/>
          <w:szCs w:val="44"/>
        </w:rPr>
      </w:pPr>
    </w:p>
    <w:p>
      <w:pPr>
        <w:autoSpaceDE w:val="0"/>
        <w:autoSpaceDN w:val="0"/>
        <w:adjustRightInd w:val="0"/>
        <w:snapToGrid w:val="0"/>
        <w:spacing w:line="360" w:lineRule="auto"/>
        <w:ind w:left="181" w:hanging="181" w:hangingChars="50"/>
        <w:rPr>
          <w:rFonts w:hint="eastAsia" w:ascii="宋体" w:cs="宋体"/>
          <w:b/>
          <w:spacing w:val="20"/>
          <w:kern w:val="0"/>
          <w:sz w:val="32"/>
          <w:szCs w:val="44"/>
        </w:rPr>
      </w:pPr>
    </w:p>
    <w:p>
      <w:pPr>
        <w:autoSpaceDE w:val="0"/>
        <w:autoSpaceDN w:val="0"/>
        <w:adjustRightInd w:val="0"/>
        <w:snapToGrid w:val="0"/>
        <w:spacing w:line="360" w:lineRule="auto"/>
        <w:ind w:left="181" w:hanging="181" w:hangingChars="50"/>
        <w:rPr>
          <w:rFonts w:hint="eastAsia" w:ascii="宋体" w:cs="宋体"/>
          <w:b/>
          <w:spacing w:val="20"/>
          <w:kern w:val="0"/>
          <w:sz w:val="32"/>
          <w:szCs w:val="44"/>
        </w:rPr>
      </w:pPr>
    </w:p>
    <w:p>
      <w:pPr>
        <w:autoSpaceDE w:val="0"/>
        <w:autoSpaceDN w:val="0"/>
        <w:adjustRightInd w:val="0"/>
        <w:snapToGrid w:val="0"/>
        <w:spacing w:line="360" w:lineRule="auto"/>
        <w:jc w:val="left"/>
        <w:rPr>
          <w:rFonts w:hint="eastAsia" w:ascii="宋体" w:cs="宋体"/>
          <w:b/>
          <w:bCs/>
          <w:sz w:val="32"/>
          <w:szCs w:val="32"/>
        </w:rPr>
      </w:pPr>
      <w:r>
        <w:rPr>
          <w:rFonts w:hint="eastAsia" w:ascii="宋体" w:cs="宋体"/>
          <w:b/>
          <w:spacing w:val="20"/>
          <w:kern w:val="0"/>
          <w:sz w:val="32"/>
          <w:szCs w:val="32"/>
        </w:rPr>
        <w:t xml:space="preserve">   投 标 人：</w:t>
      </w:r>
      <w:r>
        <w:rPr>
          <w:rFonts w:hint="eastAsia" w:ascii="宋体" w:cs="宋体"/>
          <w:b/>
          <w:bCs/>
          <w:sz w:val="32"/>
          <w:szCs w:val="32"/>
          <w:u w:val="single"/>
        </w:rPr>
        <w:t xml:space="preserve">                          </w:t>
      </w:r>
      <w:r>
        <w:rPr>
          <w:rFonts w:hint="eastAsia" w:ascii="宋体" w:cs="宋体"/>
          <w:b/>
          <w:bCs/>
          <w:sz w:val="32"/>
          <w:szCs w:val="32"/>
        </w:rPr>
        <w:t>（盖单位章）</w:t>
      </w:r>
    </w:p>
    <w:p>
      <w:pPr>
        <w:autoSpaceDE w:val="0"/>
        <w:autoSpaceDN w:val="0"/>
        <w:adjustRightInd w:val="0"/>
        <w:snapToGrid w:val="0"/>
        <w:spacing w:line="360" w:lineRule="auto"/>
        <w:jc w:val="left"/>
        <w:rPr>
          <w:rFonts w:hint="eastAsia" w:ascii="宋体" w:cs="宋体"/>
          <w:b/>
          <w:spacing w:val="20"/>
          <w:kern w:val="0"/>
          <w:sz w:val="32"/>
          <w:szCs w:val="32"/>
        </w:rPr>
      </w:pPr>
      <w:r>
        <w:rPr>
          <w:rFonts w:hint="eastAsia" w:ascii="宋体" w:cs="宋体"/>
          <w:b/>
          <w:spacing w:val="20"/>
          <w:kern w:val="0"/>
          <w:sz w:val="32"/>
          <w:szCs w:val="32"/>
        </w:rPr>
        <w:t xml:space="preserve">   法定代表人</w:t>
      </w:r>
    </w:p>
    <w:p>
      <w:pPr>
        <w:autoSpaceDE w:val="0"/>
        <w:autoSpaceDN w:val="0"/>
        <w:adjustRightInd w:val="0"/>
        <w:snapToGrid w:val="0"/>
        <w:spacing w:line="360" w:lineRule="auto"/>
        <w:jc w:val="left"/>
        <w:rPr>
          <w:rFonts w:hint="eastAsia" w:ascii="宋体" w:cs="宋体"/>
          <w:b/>
          <w:bCs/>
          <w:sz w:val="32"/>
          <w:szCs w:val="32"/>
        </w:rPr>
      </w:pPr>
      <w:r>
        <w:rPr>
          <w:rFonts w:hint="eastAsia" w:ascii="宋体" w:cs="宋体"/>
          <w:b/>
          <w:spacing w:val="20"/>
          <w:kern w:val="0"/>
          <w:sz w:val="32"/>
          <w:szCs w:val="32"/>
        </w:rPr>
        <w:t xml:space="preserve">   或其委托代理人：</w:t>
      </w:r>
      <w:r>
        <w:rPr>
          <w:rFonts w:hint="eastAsia" w:ascii="宋体" w:cs="宋体"/>
          <w:b/>
          <w:bCs/>
          <w:sz w:val="32"/>
          <w:szCs w:val="32"/>
          <w:u w:val="single"/>
        </w:rPr>
        <w:t xml:space="preserve">                  </w:t>
      </w:r>
      <w:r>
        <w:rPr>
          <w:rFonts w:hint="eastAsia" w:ascii="宋体" w:cs="宋体"/>
          <w:b/>
          <w:bCs/>
          <w:sz w:val="32"/>
          <w:szCs w:val="32"/>
        </w:rPr>
        <w:t>（签字或盖章）</w:t>
      </w:r>
    </w:p>
    <w:p>
      <w:pPr>
        <w:autoSpaceDE w:val="0"/>
        <w:autoSpaceDN w:val="0"/>
        <w:adjustRightInd w:val="0"/>
        <w:snapToGrid w:val="0"/>
        <w:spacing w:line="360" w:lineRule="auto"/>
        <w:jc w:val="left"/>
        <w:rPr>
          <w:rFonts w:hint="eastAsia" w:ascii="宋体" w:cs="宋体"/>
          <w:b/>
          <w:bCs/>
          <w:sz w:val="36"/>
          <w:szCs w:val="36"/>
        </w:rPr>
      </w:pPr>
      <w:r>
        <w:rPr>
          <w:rFonts w:hint="eastAsia" w:ascii="宋体" w:cs="宋体"/>
          <w:b/>
          <w:spacing w:val="20"/>
          <w:kern w:val="0"/>
          <w:sz w:val="32"/>
          <w:szCs w:val="32"/>
        </w:rPr>
        <w:t xml:space="preserve">   </w:t>
      </w:r>
    </w:p>
    <w:p>
      <w:pPr>
        <w:jc w:val="center"/>
        <w:rPr>
          <w:rFonts w:hint="eastAsia" w:ascii="宋体" w:cs="宋体"/>
          <w:b/>
          <w:spacing w:val="20"/>
          <w:kern w:val="0"/>
          <w:sz w:val="32"/>
          <w:szCs w:val="32"/>
        </w:rPr>
      </w:pPr>
      <w:r>
        <w:rPr>
          <w:rFonts w:hint="eastAsia" w:ascii="宋体" w:cs="宋体"/>
          <w:b/>
          <w:spacing w:val="20"/>
          <w:kern w:val="0"/>
          <w:sz w:val="32"/>
          <w:szCs w:val="32"/>
          <w:u w:val="single"/>
        </w:rPr>
        <w:t xml:space="preserve">     </w:t>
      </w:r>
      <w:r>
        <w:rPr>
          <w:rFonts w:hint="eastAsia" w:ascii="宋体" w:cs="宋体"/>
          <w:b/>
          <w:spacing w:val="20"/>
          <w:kern w:val="0"/>
          <w:sz w:val="32"/>
          <w:szCs w:val="32"/>
        </w:rPr>
        <w:t>年</w:t>
      </w:r>
      <w:r>
        <w:rPr>
          <w:rFonts w:hint="eastAsia" w:ascii="宋体" w:cs="宋体"/>
          <w:b/>
          <w:spacing w:val="20"/>
          <w:kern w:val="0"/>
          <w:sz w:val="32"/>
          <w:szCs w:val="32"/>
          <w:u w:val="single"/>
        </w:rPr>
        <w:t xml:space="preserve">     </w:t>
      </w:r>
      <w:r>
        <w:rPr>
          <w:rFonts w:hint="eastAsia" w:ascii="宋体" w:cs="宋体"/>
          <w:b/>
          <w:spacing w:val="20"/>
          <w:kern w:val="0"/>
          <w:sz w:val="32"/>
          <w:szCs w:val="32"/>
        </w:rPr>
        <w:t>月</w:t>
      </w:r>
      <w:r>
        <w:rPr>
          <w:rFonts w:hint="eastAsia" w:ascii="宋体" w:cs="宋体"/>
          <w:b/>
          <w:spacing w:val="20"/>
          <w:kern w:val="0"/>
          <w:sz w:val="32"/>
          <w:szCs w:val="32"/>
          <w:u w:val="single"/>
        </w:rPr>
        <w:t xml:space="preserve">    </w:t>
      </w:r>
      <w:r>
        <w:rPr>
          <w:rFonts w:hint="eastAsia" w:ascii="宋体" w:cs="宋体"/>
          <w:b/>
          <w:spacing w:val="20"/>
          <w:kern w:val="0"/>
          <w:sz w:val="32"/>
          <w:szCs w:val="32"/>
        </w:rPr>
        <w:t>日</w:t>
      </w:r>
    </w:p>
    <w:p>
      <w:pPr>
        <w:pStyle w:val="15"/>
        <w:rPr>
          <w:rFonts w:hint="eastAsia"/>
        </w:rPr>
      </w:pPr>
    </w:p>
    <w:p>
      <w:pPr>
        <w:tabs>
          <w:tab w:val="left" w:pos="3514"/>
          <w:tab w:val="center" w:pos="4513"/>
        </w:tabs>
        <w:spacing w:line="360" w:lineRule="auto"/>
        <w:jc w:val="center"/>
        <w:rPr>
          <w:rFonts w:hint="eastAsia" w:ascii="宋体" w:hAnsi="宋体" w:cs="宋体"/>
          <w:b/>
          <w:bCs/>
          <w:spacing w:val="20"/>
          <w:sz w:val="28"/>
          <w:szCs w:val="28"/>
          <w:lang w:val="en-US" w:eastAsia="zh-CN"/>
        </w:rPr>
      </w:pPr>
      <w:bookmarkStart w:id="307" w:name="_Toc422395195"/>
      <w:bookmarkStart w:id="308" w:name="_Toc29145262"/>
      <w:bookmarkStart w:id="309" w:name="_Toc467135438"/>
      <w:bookmarkStart w:id="310" w:name="_Toc395802136"/>
      <w:bookmarkStart w:id="311" w:name="_Toc416271981"/>
    </w:p>
    <w:p>
      <w:pPr>
        <w:tabs>
          <w:tab w:val="left" w:pos="3514"/>
          <w:tab w:val="center" w:pos="4513"/>
        </w:tabs>
        <w:spacing w:line="360" w:lineRule="auto"/>
        <w:jc w:val="center"/>
        <w:rPr>
          <w:rFonts w:hint="eastAsia" w:ascii="宋体" w:hAnsi="宋体" w:cs="宋体"/>
          <w:b/>
          <w:bCs/>
          <w:spacing w:val="20"/>
          <w:sz w:val="28"/>
          <w:szCs w:val="28"/>
        </w:rPr>
      </w:pPr>
      <w:r>
        <w:rPr>
          <w:rFonts w:hint="eastAsia" w:ascii="宋体" w:hAnsi="宋体" w:cs="宋体"/>
          <w:b/>
          <w:bCs/>
          <w:spacing w:val="20"/>
          <w:sz w:val="28"/>
          <w:szCs w:val="28"/>
          <w:lang w:val="en-US" w:eastAsia="zh-CN"/>
        </w:rPr>
        <w:t>1</w:t>
      </w:r>
      <w:r>
        <w:rPr>
          <w:rFonts w:hint="eastAsia" w:ascii="宋体" w:hAnsi="宋体" w:cs="宋体"/>
          <w:b/>
          <w:bCs/>
          <w:spacing w:val="20"/>
          <w:sz w:val="28"/>
          <w:szCs w:val="28"/>
        </w:rPr>
        <w:t>、谈判申请及申明</w:t>
      </w:r>
      <w:bookmarkEnd w:id="307"/>
      <w:bookmarkEnd w:id="308"/>
      <w:bookmarkEnd w:id="309"/>
      <w:bookmarkEnd w:id="310"/>
      <w:bookmarkEnd w:id="311"/>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（采购人名称）：</w:t>
      </w:r>
    </w:p>
    <w:p>
      <w:pPr>
        <w:spacing w:line="36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（项目名称）竞争性谈判文件的全部内容（含本项目答疑及补充通知），在考察工程现场后，</w:t>
      </w:r>
      <w:r>
        <w:rPr>
          <w:rFonts w:hint="eastAsia" w:ascii="宋体" w:hAnsi="宋体" w:cs="宋体"/>
          <w:snapToGrid w:val="0"/>
          <w:sz w:val="24"/>
        </w:rPr>
        <w:t>我方愿以投标价</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lang w:val="en-US" w:eastAsia="zh-CN"/>
        </w:rPr>
        <w:t>¥</w:t>
      </w:r>
      <w:r>
        <w:rPr>
          <w:rFonts w:hint="eastAsia" w:ascii="宋体" w:hAnsi="宋体" w:cs="宋体"/>
          <w:sz w:val="24"/>
          <w:u w:val="single"/>
        </w:rPr>
        <w:t xml:space="preserve">      </w:t>
      </w:r>
      <w:r>
        <w:rPr>
          <w:rFonts w:hint="eastAsia" w:ascii="宋体" w:hAnsi="宋体" w:cs="宋体"/>
          <w:sz w:val="24"/>
        </w:rPr>
        <w:t>）总报价，按合同约定实施和完成承包工程，修补工程中的任何缺陷，工程质量达到</w:t>
      </w:r>
      <w:r>
        <w:rPr>
          <w:rFonts w:hint="eastAsia" w:ascii="宋体" w:hAnsi="宋体" w:cs="宋体"/>
          <w:sz w:val="24"/>
          <w:u w:val="single"/>
        </w:rPr>
        <w:t xml:space="preserve">    </w:t>
      </w:r>
      <w:r>
        <w:rPr>
          <w:rFonts w:hint="eastAsia" w:ascii="宋体" w:hAnsi="宋体" w:cs="宋体"/>
          <w:sz w:val="24"/>
        </w:rPr>
        <w:t>。工期</w:t>
      </w:r>
      <w:r>
        <w:rPr>
          <w:rFonts w:hint="eastAsia" w:ascii="宋体" w:hAnsi="宋体" w:cs="宋体"/>
          <w:sz w:val="24"/>
          <w:u w:val="single"/>
        </w:rPr>
        <w:t xml:space="preserve">    </w:t>
      </w:r>
      <w:r>
        <w:rPr>
          <w:rFonts w:hint="eastAsia" w:ascii="宋体" w:hAnsi="宋体" w:cs="宋体"/>
          <w:sz w:val="24"/>
        </w:rPr>
        <w:t>日历天。</w:t>
      </w:r>
    </w:p>
    <w:p>
      <w:pPr>
        <w:spacing w:line="360" w:lineRule="auto"/>
        <w:ind w:firstLine="480" w:firstLineChars="200"/>
        <w:rPr>
          <w:rFonts w:hint="eastAsia" w:ascii="宋体" w:hAnsi="宋体" w:cs="宋体"/>
          <w:sz w:val="24"/>
        </w:rPr>
      </w:pPr>
      <w:r>
        <w:rPr>
          <w:rFonts w:hint="eastAsia" w:ascii="宋体" w:hAnsi="宋体" w:cs="宋体"/>
          <w:sz w:val="24"/>
        </w:rPr>
        <w:t>2.如我方中标，我方拟派</w:t>
      </w:r>
      <w:r>
        <w:rPr>
          <w:rFonts w:hint="eastAsia" w:ascii="宋体" w:hAnsi="宋体" w:cs="宋体"/>
          <w:sz w:val="24"/>
          <w:u w:val="single"/>
        </w:rPr>
        <w:t xml:space="preserve">      </w:t>
      </w:r>
      <w:r>
        <w:rPr>
          <w:rFonts w:hint="eastAsia" w:ascii="宋体" w:hAnsi="宋体" w:cs="宋体"/>
          <w:sz w:val="24"/>
        </w:rPr>
        <w:t>为本工程</w:t>
      </w:r>
      <w:r>
        <w:rPr>
          <w:rFonts w:hint="eastAsia" w:ascii="宋体" w:hAnsi="宋体" w:cs="宋体"/>
          <w:sz w:val="24"/>
          <w:lang w:eastAsia="zh-CN"/>
        </w:rPr>
        <w:t>项目负责人。</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.如我方中标：</w:t>
      </w:r>
    </w:p>
    <w:p>
      <w:pPr>
        <w:spacing w:line="360" w:lineRule="auto"/>
        <w:ind w:firstLine="480" w:firstLineChars="200"/>
        <w:rPr>
          <w:rFonts w:hint="eastAsia" w:ascii="宋体" w:hAnsi="宋体" w:cs="宋体"/>
          <w:sz w:val="24"/>
        </w:rPr>
      </w:pPr>
      <w:r>
        <w:rPr>
          <w:rFonts w:hint="eastAsia" w:ascii="宋体" w:hAnsi="宋体" w:cs="宋体"/>
          <w:sz w:val="24"/>
        </w:rPr>
        <w:t>（1）我方承诺在收到成交通知书后，在成交通知书规定的期限内与你方签订合同。</w:t>
      </w:r>
    </w:p>
    <w:p>
      <w:pPr>
        <w:spacing w:line="360" w:lineRule="auto"/>
        <w:ind w:firstLine="480" w:firstLineChars="200"/>
        <w:rPr>
          <w:rFonts w:hint="eastAsia" w:ascii="宋体" w:hAnsi="宋体" w:cs="宋体"/>
          <w:sz w:val="24"/>
        </w:rPr>
      </w:pPr>
      <w:r>
        <w:rPr>
          <w:rFonts w:hint="eastAsia" w:ascii="宋体" w:hAnsi="宋体" w:cs="宋体"/>
          <w:sz w:val="24"/>
        </w:rPr>
        <w:t>（2）随同本谈判申请及申明递交的谈判申请及申明附录属于合同文件的组成部分。</w:t>
      </w:r>
    </w:p>
    <w:p>
      <w:pPr>
        <w:spacing w:line="360" w:lineRule="auto"/>
        <w:ind w:firstLine="480" w:firstLineChars="200"/>
        <w:rPr>
          <w:rFonts w:hint="eastAsia" w:ascii="宋体" w:hAnsi="宋体" w:cs="宋体"/>
          <w:sz w:val="24"/>
        </w:rPr>
      </w:pPr>
      <w:r>
        <w:rPr>
          <w:rFonts w:hint="eastAsia" w:ascii="宋体" w:hAnsi="宋体" w:cs="宋体"/>
          <w:sz w:val="24"/>
        </w:rPr>
        <w:t>（3）我方承诺按照竞争性谈判文件规定向你方递交履约担保。</w:t>
      </w:r>
    </w:p>
    <w:p>
      <w:pPr>
        <w:spacing w:line="360" w:lineRule="auto"/>
        <w:ind w:firstLine="480" w:firstLineChars="200"/>
        <w:rPr>
          <w:rFonts w:hint="eastAsia" w:ascii="宋体" w:hAnsi="宋体" w:cs="宋体"/>
          <w:sz w:val="24"/>
        </w:rPr>
      </w:pPr>
      <w:r>
        <w:rPr>
          <w:rFonts w:hint="eastAsia" w:ascii="宋体" w:hAnsi="宋体" w:cs="宋体"/>
          <w:sz w:val="24"/>
        </w:rPr>
        <w:t>（4）我方承诺在合同约定的期限内完成并移交全部合同工程。</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.我方在此声明，所递交的响应文件及有关资料内容完整、真实和准确，且不存在第二章“供应商须知”第1.4.3项规定的任何一种情形。</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.在合同协议书正式签署生效之前，本谈判申请及申明连同你方的成交通知书将构成我们双方之间共同遵守的文件，对双方具有约束力。</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pPr>
        <w:tabs>
          <w:tab w:val="left" w:pos="2977"/>
          <w:tab w:val="left" w:pos="3261"/>
        </w:tabs>
        <w:spacing w:line="360" w:lineRule="auto"/>
        <w:rPr>
          <w:rFonts w:hint="eastAsia"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rPr>
          <w:rFonts w:hint="eastAsia" w:ascii="宋体" w:hAnsi="宋体" w:cs="宋体"/>
          <w:sz w:val="24"/>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       </w:t>
      </w:r>
    </w:p>
    <w:p>
      <w:pPr>
        <w:rPr>
          <w:rFonts w:hint="eastAsia" w:ascii="宋体" w:hAnsi="宋体"/>
          <w:b/>
          <w:sz w:val="24"/>
          <w:szCs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5"/>
        <w:ind w:left="0" w:leftChars="0" w:firstLine="0" w:firstLineChars="0"/>
        <w:rPr>
          <w:rFonts w:hint="eastAsia" w:ascii="宋体" w:hAnsi="宋体" w:cs="宋体"/>
          <w:b/>
          <w:bCs/>
          <w:spacing w:val="20"/>
          <w:sz w:val="28"/>
          <w:szCs w:val="28"/>
        </w:rPr>
      </w:pPr>
    </w:p>
    <w:p>
      <w:pPr>
        <w:pStyle w:val="15"/>
        <w:ind w:left="0" w:leftChars="0" w:firstLine="0" w:firstLineChars="0"/>
        <w:rPr>
          <w:rFonts w:hint="eastAsia" w:ascii="宋体" w:hAnsi="宋体" w:cs="宋体"/>
          <w:b/>
          <w:bCs/>
          <w:spacing w:val="20"/>
          <w:sz w:val="28"/>
          <w:szCs w:val="28"/>
        </w:rPr>
      </w:pPr>
    </w:p>
    <w:p>
      <w:pPr>
        <w:pStyle w:val="15"/>
        <w:ind w:left="0" w:leftChars="0" w:firstLine="0" w:firstLineChars="0"/>
        <w:rPr>
          <w:rFonts w:hint="eastAsia" w:ascii="宋体" w:hAnsi="宋体" w:cs="宋体"/>
          <w:b/>
          <w:bCs/>
          <w:spacing w:val="20"/>
          <w:sz w:val="28"/>
          <w:szCs w:val="28"/>
        </w:rPr>
      </w:pPr>
    </w:p>
    <w:p>
      <w:pPr>
        <w:tabs>
          <w:tab w:val="left" w:pos="3514"/>
          <w:tab w:val="center" w:pos="4513"/>
        </w:tabs>
        <w:spacing w:line="360" w:lineRule="auto"/>
        <w:jc w:val="center"/>
        <w:rPr>
          <w:rFonts w:hint="eastAsia" w:ascii="宋体" w:hAnsi="宋体" w:cs="宋体"/>
          <w:b/>
          <w:bCs/>
          <w:spacing w:val="20"/>
          <w:sz w:val="28"/>
          <w:szCs w:val="28"/>
        </w:rPr>
      </w:pPr>
      <w:r>
        <w:rPr>
          <w:rFonts w:hint="eastAsia" w:ascii="宋体" w:hAnsi="宋体" w:cs="宋体"/>
          <w:b/>
          <w:bCs/>
          <w:spacing w:val="20"/>
          <w:sz w:val="28"/>
          <w:szCs w:val="28"/>
        </w:rPr>
        <w:t>响应报价表</w:t>
      </w:r>
    </w:p>
    <w:p>
      <w:pPr>
        <w:pStyle w:val="15"/>
        <w:rPr>
          <w:rFonts w:hint="eastAsia"/>
        </w:rPr>
      </w:pPr>
    </w:p>
    <w:tbl>
      <w:tblPr>
        <w:tblStyle w:val="16"/>
        <w:tblW w:w="9792" w:type="dxa"/>
        <w:jc w:val="center"/>
        <w:tblLayout w:type="fixed"/>
        <w:tblCellMar>
          <w:top w:w="0" w:type="dxa"/>
          <w:left w:w="108" w:type="dxa"/>
          <w:bottom w:w="0" w:type="dxa"/>
          <w:right w:w="108" w:type="dxa"/>
        </w:tblCellMar>
      </w:tblPr>
      <w:tblGrid>
        <w:gridCol w:w="1557"/>
        <w:gridCol w:w="8235"/>
      </w:tblGrid>
      <w:tr>
        <w:tblPrEx>
          <w:tblCellMar>
            <w:top w:w="0" w:type="dxa"/>
            <w:left w:w="108" w:type="dxa"/>
            <w:bottom w:w="0" w:type="dxa"/>
            <w:right w:w="108" w:type="dxa"/>
          </w:tblCellMar>
        </w:tblPrEx>
        <w:trPr>
          <w:trHeight w:val="64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b/>
                <w:bCs/>
                <w:kern w:val="0"/>
                <w:sz w:val="24"/>
              </w:rPr>
              <w:t>项目名称</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 xml:space="preserve"> </w:t>
            </w:r>
          </w:p>
        </w:tc>
      </w:tr>
      <w:tr>
        <w:tblPrEx>
          <w:tblCellMar>
            <w:top w:w="0" w:type="dxa"/>
            <w:left w:w="108" w:type="dxa"/>
            <w:bottom w:w="0" w:type="dxa"/>
            <w:right w:w="108" w:type="dxa"/>
          </w:tblCellMar>
        </w:tblPrEx>
        <w:trPr>
          <w:trHeight w:val="779"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项目编号</w:t>
            </w:r>
          </w:p>
        </w:tc>
        <w:tc>
          <w:tcPr>
            <w:tcW w:w="823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kern w:val="0"/>
                <w:sz w:val="24"/>
              </w:rPr>
            </w:pPr>
            <w:r>
              <w:rPr>
                <w:rFonts w:hint="eastAsia" w:ascii="宋体" w:hAnsi="宋体" w:cs="宋体"/>
                <w:sz w:val="24"/>
              </w:rPr>
              <w:t xml:space="preserve"> </w:t>
            </w:r>
          </w:p>
        </w:tc>
      </w:tr>
      <w:tr>
        <w:tblPrEx>
          <w:tblCellMar>
            <w:top w:w="0" w:type="dxa"/>
            <w:left w:w="108" w:type="dxa"/>
            <w:bottom w:w="0" w:type="dxa"/>
            <w:right w:w="108" w:type="dxa"/>
          </w:tblCellMar>
        </w:tblPrEx>
        <w:trPr>
          <w:trHeight w:val="2173"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widowControl/>
              <w:ind w:firstLine="241" w:firstLineChars="100"/>
              <w:rPr>
                <w:rFonts w:hint="eastAsia" w:ascii="宋体" w:hAnsi="宋体" w:cs="宋体"/>
                <w:b/>
                <w:kern w:val="0"/>
                <w:sz w:val="24"/>
              </w:rPr>
            </w:pPr>
            <w:r>
              <w:rPr>
                <w:rFonts w:hint="eastAsia" w:ascii="宋体" w:hAnsi="宋体" w:cs="宋体"/>
                <w:b/>
                <w:kern w:val="0"/>
                <w:sz w:val="24"/>
              </w:rPr>
              <w:t>响应报价</w:t>
            </w:r>
          </w:p>
          <w:p>
            <w:pPr>
              <w:widowControl/>
              <w:rPr>
                <w:rFonts w:hint="eastAsia" w:ascii="宋体" w:hAnsi="宋体" w:cs="宋体"/>
                <w:kern w:val="0"/>
                <w:sz w:val="24"/>
              </w:rPr>
            </w:pPr>
          </w:p>
        </w:tc>
        <w:tc>
          <w:tcPr>
            <w:tcW w:w="8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p>
            <w:pPr>
              <w:spacing w:line="360" w:lineRule="auto"/>
              <w:rPr>
                <w:rFonts w:hint="eastAsia" w:ascii="宋体" w:hAnsi="宋体" w:cs="宋体"/>
                <w:spacing w:val="20"/>
                <w:sz w:val="24"/>
              </w:rPr>
            </w:pPr>
            <w:r>
              <w:rPr>
                <w:rFonts w:hint="eastAsia" w:ascii="宋体" w:hAnsi="宋体" w:cs="宋体"/>
                <w:spacing w:val="20"/>
                <w:sz w:val="24"/>
              </w:rPr>
              <w:t>小写:             (元)</w:t>
            </w:r>
          </w:p>
          <w:p>
            <w:pPr>
              <w:spacing w:line="360" w:lineRule="auto"/>
              <w:rPr>
                <w:rFonts w:hint="eastAsia" w:ascii="宋体" w:hAnsi="宋体" w:cs="宋体"/>
                <w:spacing w:val="20"/>
                <w:sz w:val="24"/>
              </w:rPr>
            </w:pPr>
          </w:p>
          <w:p>
            <w:pPr>
              <w:spacing w:line="360" w:lineRule="auto"/>
              <w:rPr>
                <w:rFonts w:hint="eastAsia" w:ascii="宋体" w:hAnsi="宋体" w:cs="宋体"/>
                <w:spacing w:val="20"/>
                <w:sz w:val="24"/>
                <w:u w:val="single"/>
              </w:rPr>
            </w:pPr>
            <w:r>
              <w:rPr>
                <w:rFonts w:hint="eastAsia" w:ascii="宋体" w:hAnsi="宋体" w:cs="宋体"/>
                <w:spacing w:val="20"/>
                <w:sz w:val="24"/>
              </w:rPr>
              <w:t>大写:</w:t>
            </w:r>
          </w:p>
          <w:p>
            <w:pPr>
              <w:ind w:left="2703"/>
              <w:rPr>
                <w:rFonts w:hint="eastAsia" w:ascii="宋体" w:hAnsi="宋体" w:cs="宋体"/>
                <w:kern w:val="0"/>
                <w:sz w:val="24"/>
              </w:rPr>
            </w:pPr>
          </w:p>
        </w:tc>
      </w:tr>
      <w:tr>
        <w:tblPrEx>
          <w:tblCellMar>
            <w:top w:w="0" w:type="dxa"/>
            <w:left w:w="108" w:type="dxa"/>
            <w:bottom w:w="0" w:type="dxa"/>
            <w:right w:w="108" w:type="dxa"/>
          </w:tblCellMar>
        </w:tblPrEx>
        <w:trPr>
          <w:trHeight w:val="86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kern w:val="0"/>
                <w:sz w:val="24"/>
                <w:lang w:eastAsia="zh-CN"/>
              </w:rPr>
            </w:pPr>
            <w:r>
              <w:rPr>
                <w:rFonts w:hint="eastAsia" w:ascii="宋体" w:hAnsi="宋体" w:cs="宋体"/>
                <w:b/>
                <w:kern w:val="0"/>
                <w:sz w:val="24"/>
              </w:rPr>
              <w:t>项目</w:t>
            </w:r>
            <w:r>
              <w:rPr>
                <w:rFonts w:hint="eastAsia" w:ascii="宋体" w:hAnsi="宋体" w:cs="宋体"/>
                <w:b/>
                <w:kern w:val="0"/>
                <w:sz w:val="24"/>
                <w:lang w:eastAsia="zh-CN"/>
              </w:rPr>
              <w:t>负责人</w:t>
            </w:r>
          </w:p>
        </w:tc>
        <w:tc>
          <w:tcPr>
            <w:tcW w:w="82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p>
        </w:tc>
      </w:tr>
      <w:tr>
        <w:tblPrEx>
          <w:tblCellMar>
            <w:top w:w="0" w:type="dxa"/>
            <w:left w:w="108" w:type="dxa"/>
            <w:bottom w:w="0" w:type="dxa"/>
            <w:right w:w="108" w:type="dxa"/>
          </w:tblCellMar>
        </w:tblPrEx>
        <w:trPr>
          <w:trHeight w:val="840"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工期</w:t>
            </w:r>
          </w:p>
        </w:tc>
        <w:tc>
          <w:tcPr>
            <w:tcW w:w="82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 xml:space="preserve"> </w:t>
            </w:r>
          </w:p>
        </w:tc>
      </w:tr>
      <w:tr>
        <w:tblPrEx>
          <w:tblCellMar>
            <w:top w:w="0" w:type="dxa"/>
            <w:left w:w="108" w:type="dxa"/>
            <w:bottom w:w="0" w:type="dxa"/>
            <w:right w:w="108" w:type="dxa"/>
          </w:tblCellMar>
        </w:tblPrEx>
        <w:trPr>
          <w:trHeight w:val="1000"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工程质量</w:t>
            </w:r>
          </w:p>
        </w:tc>
        <w:tc>
          <w:tcPr>
            <w:tcW w:w="82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 xml:space="preserve"> </w:t>
            </w:r>
          </w:p>
        </w:tc>
      </w:tr>
    </w:tbl>
    <w:p>
      <w:pPr>
        <w:spacing w:line="360" w:lineRule="auto"/>
        <w:ind w:firstLine="240" w:firstLineChars="100"/>
        <w:textAlignment w:val="baseline"/>
        <w:rPr>
          <w:rFonts w:hint="eastAsia" w:ascii="宋体" w:hAnsi="宋体" w:cs="宋体"/>
          <w:sz w:val="26"/>
        </w:rPr>
      </w:pPr>
      <w:r>
        <w:rPr>
          <w:rFonts w:hint="eastAsia" w:ascii="宋体" w:hAnsi="宋体" w:cs="宋体"/>
          <w:sz w:val="24"/>
        </w:rPr>
        <w:t>备注：</w:t>
      </w:r>
      <w:r>
        <w:rPr>
          <w:rFonts w:hint="eastAsia" w:ascii="宋体" w:hAnsi="宋体" w:cs="宋体"/>
          <w:sz w:val="26"/>
        </w:rPr>
        <w:t xml:space="preserve"> 1、上述日期均以日历天为单位，包括法定节假日。</w:t>
      </w:r>
    </w:p>
    <w:p>
      <w:pPr>
        <w:spacing w:line="360" w:lineRule="auto"/>
        <w:ind w:firstLine="260" w:firstLineChars="100"/>
        <w:textAlignment w:val="baseline"/>
        <w:rPr>
          <w:rFonts w:hint="eastAsia" w:ascii="宋体" w:hAnsi="宋体" w:cs="宋体"/>
          <w:sz w:val="26"/>
        </w:rPr>
      </w:pPr>
      <w:r>
        <w:rPr>
          <w:rFonts w:hint="eastAsia" w:ascii="宋体" w:hAnsi="宋体" w:cs="宋体"/>
          <w:sz w:val="26"/>
        </w:rPr>
        <w:t xml:space="preserve">  2、对含糊不清或不确定的报价将视为无效报价。</w:t>
      </w:r>
    </w:p>
    <w:p>
      <w:pPr>
        <w:spacing w:line="360" w:lineRule="auto"/>
        <w:ind w:firstLine="260" w:firstLineChars="100"/>
        <w:textAlignment w:val="baseline"/>
        <w:rPr>
          <w:rFonts w:hint="eastAsia" w:ascii="宋体" w:hAnsi="宋体" w:cs="宋体"/>
          <w:sz w:val="26"/>
        </w:rPr>
      </w:pPr>
      <w:r>
        <w:rPr>
          <w:rFonts w:hint="eastAsia" w:ascii="宋体" w:hAnsi="宋体" w:cs="宋体"/>
          <w:sz w:val="26"/>
        </w:rPr>
        <w:t xml:space="preserve">  3、在报价表内未有明确列述的项目费用应视为包括在总报价之内。</w:t>
      </w:r>
    </w:p>
    <w:p>
      <w:pPr>
        <w:spacing w:line="360" w:lineRule="auto"/>
        <w:ind w:firstLine="260" w:firstLineChars="100"/>
        <w:textAlignment w:val="baseline"/>
        <w:rPr>
          <w:rFonts w:hint="eastAsia" w:ascii="宋体" w:hAnsi="宋体" w:cs="宋体"/>
          <w:sz w:val="26"/>
        </w:rPr>
      </w:pPr>
      <w:r>
        <w:rPr>
          <w:rFonts w:hint="eastAsia" w:ascii="宋体" w:hAnsi="宋体" w:cs="宋体"/>
          <w:sz w:val="26"/>
        </w:rPr>
        <w:t xml:space="preserve">  4、响应价格为固定不变价。在合同期内，该价格不因市场价格的变动而发生变动。</w:t>
      </w:r>
    </w:p>
    <w:p>
      <w:pPr>
        <w:spacing w:line="360" w:lineRule="auto"/>
        <w:ind w:firstLine="520" w:firstLineChars="200"/>
        <w:textAlignment w:val="baseline"/>
        <w:rPr>
          <w:rFonts w:hint="eastAsia" w:ascii="宋体" w:hAnsi="宋体" w:cs="宋体"/>
          <w:sz w:val="26"/>
        </w:rPr>
      </w:pPr>
      <w:r>
        <w:rPr>
          <w:rFonts w:hint="eastAsia" w:ascii="宋体" w:hAnsi="宋体" w:cs="宋体"/>
          <w:sz w:val="26"/>
        </w:rPr>
        <w:t>5、本表用于谈判现场报价，供应商须在响应文件中装订一份填写响应报价的表格，另多备几份手持。</w:t>
      </w:r>
    </w:p>
    <w:p>
      <w:pPr>
        <w:spacing w:line="360" w:lineRule="auto"/>
        <w:ind w:firstLine="560" w:firstLineChars="200"/>
        <w:rPr>
          <w:rFonts w:hint="eastAsia" w:ascii="宋体" w:hAnsi="宋体" w:cs="宋体"/>
          <w:spacing w:val="20"/>
          <w:sz w:val="24"/>
        </w:rPr>
      </w:pPr>
    </w:p>
    <w:p>
      <w:pPr>
        <w:spacing w:line="360" w:lineRule="auto"/>
        <w:ind w:firstLine="3720" w:firstLineChars="155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（盖单位章）</w:t>
      </w:r>
    </w:p>
    <w:p>
      <w:pPr>
        <w:pStyle w:val="15"/>
        <w:jc w:val="center"/>
        <w:rPr>
          <w:rFonts w:hint="eastAsia" w:ascii="宋体" w:hAnsi="宋体" w:cs="宋体"/>
          <w:spacing w:val="20"/>
          <w:sz w:val="24"/>
          <w:u w:val="single"/>
        </w:rPr>
      </w:pPr>
      <w:r>
        <w:rPr>
          <w:rFonts w:hint="eastAsia"/>
          <w:color w:val="auto"/>
          <w:sz w:val="24"/>
          <w:szCs w:val="24"/>
          <w:highlight w:val="none"/>
        </w:rPr>
        <w:t>法定代表人或授权代表（签字或盖章）：</w:t>
      </w:r>
      <w:r>
        <w:rPr>
          <w:rFonts w:hint="eastAsia"/>
          <w:u w:val="single"/>
          <w:lang w:val="en-US" w:eastAsia="zh-CN"/>
        </w:rPr>
        <w:t xml:space="preserve">  </w:t>
      </w:r>
      <w:r>
        <w:rPr>
          <w:rFonts w:hint="eastAsia" w:ascii="宋体" w:hAnsi="宋体" w:cs="宋体"/>
          <w:spacing w:val="20"/>
          <w:sz w:val="24"/>
          <w:u w:val="single"/>
        </w:rPr>
        <w:t xml:space="preserve">  </w:t>
      </w:r>
      <w:r>
        <w:rPr>
          <w:rFonts w:hint="eastAsia" w:ascii="宋体" w:hAnsi="宋体" w:cs="宋体"/>
          <w:spacing w:val="20"/>
          <w:sz w:val="24"/>
          <w:u w:val="single"/>
          <w:lang w:val="en-US" w:eastAsia="zh-CN"/>
        </w:rPr>
        <w:t xml:space="preserve"> </w:t>
      </w:r>
      <w:r>
        <w:rPr>
          <w:rFonts w:hint="eastAsia" w:ascii="宋体" w:hAnsi="宋体" w:cs="宋体"/>
          <w:spacing w:val="20"/>
          <w:sz w:val="24"/>
          <w:u w:val="single"/>
        </w:rPr>
        <w:t xml:space="preserve">  </w:t>
      </w:r>
    </w:p>
    <w:p>
      <w:pPr>
        <w:pStyle w:val="15"/>
        <w:jc w:val="right"/>
        <w:rPr>
          <w:rFonts w:hint="eastAsia" w:ascii="宋体" w:hAnsi="宋体" w:cs="宋体"/>
          <w:b/>
          <w:bCs/>
          <w:sz w:val="24"/>
          <w:szCs w:val="24"/>
        </w:rPr>
      </w:pPr>
      <w:r>
        <w:rPr>
          <w:rFonts w:hint="eastAsia" w:ascii="宋体" w:hAnsi="宋体" w:cs="宋体"/>
          <w:spacing w:val="20"/>
          <w:sz w:val="24"/>
          <w:u w:val="single"/>
          <w:lang w:val="en-US" w:eastAsia="zh-CN"/>
        </w:rPr>
        <w:t xml:space="preserve">      </w:t>
      </w: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w:t>
      </w:r>
    </w:p>
    <w:p>
      <w:pPr>
        <w:spacing w:line="360" w:lineRule="auto"/>
        <w:jc w:val="center"/>
        <w:rPr>
          <w:rFonts w:hint="eastAsia" w:ascii="宋体" w:hAnsi="宋体" w:cs="宋体"/>
          <w:b/>
          <w:sz w:val="24"/>
          <w:szCs w:val="24"/>
        </w:rPr>
      </w:pPr>
      <w:r>
        <w:rPr>
          <w:rFonts w:hint="eastAsia" w:ascii="宋体" w:hAnsi="宋体" w:cs="宋体"/>
          <w:b/>
          <w:bCs/>
          <w:spacing w:val="20"/>
          <w:sz w:val="24"/>
          <w:szCs w:val="24"/>
        </w:rPr>
        <w:t xml:space="preserve">附件1 </w:t>
      </w:r>
      <w:r>
        <w:rPr>
          <w:rFonts w:hint="eastAsia" w:ascii="宋体" w:hAnsi="宋体" w:cs="宋体"/>
          <w:b/>
          <w:sz w:val="24"/>
          <w:szCs w:val="24"/>
        </w:rPr>
        <w:t>供应商诚信承诺书</w:t>
      </w:r>
    </w:p>
    <w:p>
      <w:pPr>
        <w:pStyle w:val="15"/>
        <w:rPr>
          <w:rFonts w:hint="eastAsia"/>
        </w:rPr>
      </w:pPr>
    </w:p>
    <w:p>
      <w:pPr>
        <w:pStyle w:val="21"/>
        <w:spacing w:line="360" w:lineRule="auto"/>
        <w:rPr>
          <w:rFonts w:hint="eastAsia" w:ascii="宋体" w:hAnsi="宋体" w:cs="宋体"/>
          <w:sz w:val="24"/>
          <w:szCs w:val="24"/>
        </w:rPr>
      </w:pPr>
      <w:r>
        <w:rPr>
          <w:rFonts w:hint="eastAsia" w:ascii="宋体" w:hAnsi="宋体" w:cs="宋体"/>
          <w:sz w:val="24"/>
          <w:szCs w:val="24"/>
        </w:rPr>
        <w:t>我单位在参加本次投标，郑重承诺如下：</w:t>
      </w:r>
    </w:p>
    <w:p>
      <w:pPr>
        <w:pStyle w:val="21"/>
        <w:spacing w:line="360" w:lineRule="auto"/>
        <w:rPr>
          <w:rFonts w:hint="eastAsia" w:ascii="宋体" w:hAnsi="宋体" w:cs="宋体"/>
          <w:sz w:val="24"/>
          <w:szCs w:val="24"/>
        </w:rPr>
      </w:pPr>
    </w:p>
    <w:p>
      <w:pPr>
        <w:pStyle w:val="21"/>
        <w:spacing w:line="360" w:lineRule="auto"/>
        <w:ind w:firstLine="420"/>
        <w:rPr>
          <w:rFonts w:hint="eastAsia" w:ascii="宋体" w:hAnsi="宋体" w:cs="宋体"/>
          <w:sz w:val="24"/>
          <w:szCs w:val="24"/>
        </w:rPr>
      </w:pPr>
      <w:r>
        <w:rPr>
          <w:rFonts w:hint="eastAsia" w:ascii="宋体" w:hAnsi="宋体" w:cs="宋体"/>
          <w:sz w:val="24"/>
          <w:szCs w:val="24"/>
        </w:rPr>
        <w:t>1．本次投标提供的所有资料都是真实有效、准确完整的，并按时接受资格审查，如发现提供虚假资料，或与事实不符，将取消投标和成交资格，造成的任何法律和经济责任，完全由我方负责。</w:t>
      </w:r>
    </w:p>
    <w:p>
      <w:pPr>
        <w:pStyle w:val="21"/>
        <w:spacing w:line="360" w:lineRule="auto"/>
        <w:ind w:firstLine="420"/>
        <w:rPr>
          <w:rFonts w:hint="eastAsia" w:ascii="宋体" w:hAnsi="宋体" w:cs="宋体"/>
          <w:sz w:val="24"/>
          <w:szCs w:val="24"/>
        </w:rPr>
      </w:pPr>
      <w:r>
        <w:rPr>
          <w:rFonts w:hint="eastAsia" w:ascii="宋体" w:hAnsi="宋体" w:cs="宋体"/>
          <w:sz w:val="24"/>
          <w:szCs w:val="24"/>
        </w:rPr>
        <w:t>2．本次投标绝无资质挂靠、串标、围标情形，若经查证属实，立即取消我方投标和成交资格并承担相应的法律责任。</w:t>
      </w:r>
    </w:p>
    <w:p>
      <w:pPr>
        <w:pStyle w:val="21"/>
        <w:spacing w:line="360" w:lineRule="auto"/>
        <w:ind w:firstLine="42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．本次采购若出现投诉，本项目拟派项目</w:t>
      </w:r>
      <w:r>
        <w:rPr>
          <w:rFonts w:hint="eastAsia" w:ascii="宋体" w:hAnsi="宋体" w:cs="宋体"/>
          <w:sz w:val="24"/>
          <w:szCs w:val="24"/>
          <w:lang w:eastAsia="zh-CN"/>
        </w:rPr>
        <w:t>负责人</w:t>
      </w:r>
      <w:r>
        <w:rPr>
          <w:rFonts w:hint="eastAsia" w:ascii="宋体" w:hAnsi="宋体" w:cs="宋体"/>
          <w:sz w:val="24"/>
          <w:szCs w:val="24"/>
        </w:rPr>
        <w:t>、编制响应文件的工程造价人员将积极配合调查，否则将承担相应法律责任。</w:t>
      </w:r>
    </w:p>
    <w:p>
      <w:pPr>
        <w:pStyle w:val="21"/>
        <w:spacing w:line="360" w:lineRule="auto"/>
        <w:ind w:firstLine="42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投标严格遵守有形建筑市场工作秩序,我方派出人员若出现胡搅蛮缠、辱骂、恐吓、污告有形建筑市场工作人员，或不听有形建筑市场工作人员劝阻影响有形建筑市场正常工作秩序的行为,愿承担相关法律责任。</w:t>
      </w:r>
    </w:p>
    <w:p>
      <w:pPr>
        <w:pStyle w:val="21"/>
        <w:spacing w:line="360" w:lineRule="auto"/>
        <w:ind w:firstLine="42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．本次采购如我单位中标，除不可抗力外，决不因任何其它原因放弃中标，否则将承担相应法律责任。</w:t>
      </w:r>
    </w:p>
    <w:p>
      <w:pPr>
        <w:pStyle w:val="21"/>
        <w:spacing w:line="360" w:lineRule="auto"/>
        <w:ind w:firstLine="42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、我单位已全面认真审阅了该项目全部竞争性谈判文件及其相关附件，认为该竞争性谈判文件中没有存在歧义、重大缺陷及违反国家有关规定的条款，对</w:t>
      </w:r>
    </w:p>
    <w:p>
      <w:pPr>
        <w:pStyle w:val="21"/>
        <w:spacing w:line="360" w:lineRule="auto"/>
        <w:ind w:firstLine="420"/>
        <w:rPr>
          <w:rFonts w:hint="eastAsia" w:ascii="宋体" w:hAnsi="宋体" w:cs="宋体" w:eastAsiaTheme="minorEastAsia"/>
          <w:sz w:val="24"/>
          <w:szCs w:val="24"/>
          <w:lang w:eastAsia="zh-CN"/>
        </w:rPr>
      </w:pPr>
      <w:r>
        <w:rPr>
          <w:rFonts w:hint="eastAsia" w:ascii="宋体" w:hAnsi="宋体" w:cs="宋体"/>
          <w:sz w:val="24"/>
          <w:szCs w:val="24"/>
        </w:rPr>
        <w:t>本次采购活动文件内容无任何异议，完全接受竞争性谈判文件的全部内容，自愿参加本项目响应活动。出现上述情形之一的，我方愿意接受处罚并承担所有经济损失和法律责任</w:t>
      </w:r>
      <w:r>
        <w:rPr>
          <w:rFonts w:hint="eastAsia" w:ascii="宋体" w:hAnsi="宋体" w:cs="宋体"/>
          <w:sz w:val="24"/>
          <w:szCs w:val="24"/>
          <w:lang w:eastAsia="zh-CN"/>
        </w:rPr>
        <w:t>。</w:t>
      </w:r>
    </w:p>
    <w:p>
      <w:pPr>
        <w:pStyle w:val="21"/>
        <w:spacing w:line="360" w:lineRule="auto"/>
        <w:ind w:right="55" w:firstLine="420"/>
        <w:jc w:val="right"/>
        <w:rPr>
          <w:rFonts w:hint="eastAsia"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w:t>
      </w:r>
      <w:r>
        <w:rPr>
          <w:rFonts w:hint="eastAsia" w:ascii="宋体" w:hAnsi="宋体" w:cs="宋体"/>
          <w:bCs/>
          <w:sz w:val="24"/>
          <w:szCs w:val="24"/>
        </w:rPr>
        <w:t>（盖单位章）</w:t>
      </w:r>
    </w:p>
    <w:p>
      <w:pPr>
        <w:pStyle w:val="21"/>
        <w:spacing w:line="360" w:lineRule="auto"/>
        <w:ind w:right="420" w:firstLine="420"/>
        <w:jc w:val="center"/>
        <w:rPr>
          <w:rFonts w:hint="eastAsia"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rPr>
        <w:t xml:space="preserve">（签字或盖章）  </w:t>
      </w:r>
    </w:p>
    <w:p>
      <w:pPr>
        <w:jc w:val="right"/>
        <w:rPr>
          <w:rFonts w:hint="eastAsia" w:ascii="宋体" w:hAnsi="宋体" w:cs="宋体"/>
          <w:sz w:val="24"/>
        </w:rPr>
      </w:pPr>
      <w:r>
        <w:rPr>
          <w:rFonts w:hint="eastAsia" w:ascii="宋体" w:hAnsi="宋体" w:cs="宋体"/>
          <w:sz w:val="24"/>
        </w:rPr>
        <w:t>年    月    日</w:t>
      </w:r>
    </w:p>
    <w:p>
      <w:pPr>
        <w:rPr>
          <w:rFonts w:hint="eastAsia" w:ascii="宋体" w:hAnsi="宋体" w:cs="宋体"/>
          <w:sz w:val="24"/>
        </w:rPr>
      </w:pPr>
    </w:p>
    <w:p>
      <w:pPr>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ind w:left="0" w:leftChars="0" w:firstLine="0" w:firstLineChars="0"/>
        <w:rPr>
          <w:rFonts w:hint="eastAsia" w:ascii="宋体" w:hAnsi="宋体" w:cs="宋体"/>
          <w:sz w:val="24"/>
        </w:rPr>
      </w:pPr>
    </w:p>
    <w:p>
      <w:pPr>
        <w:jc w:val="center"/>
        <w:rPr>
          <w:rFonts w:hint="eastAsia" w:ascii="宋体" w:hAnsi="宋体" w:cs="宋体"/>
          <w:b/>
          <w:sz w:val="24"/>
          <w:szCs w:val="24"/>
        </w:rPr>
      </w:pPr>
      <w:bookmarkStart w:id="312" w:name="_Toc11814"/>
      <w:bookmarkStart w:id="313" w:name="_Toc465933805"/>
      <w:bookmarkStart w:id="314" w:name="_Toc12431"/>
    </w:p>
    <w:bookmarkEnd w:id="312"/>
    <w:bookmarkEnd w:id="313"/>
    <w:bookmarkEnd w:id="314"/>
    <w:p>
      <w:pPr>
        <w:jc w:val="center"/>
        <w:rPr>
          <w:rFonts w:hint="eastAsia" w:ascii="宋体" w:hAnsi="宋体" w:cs="宋体"/>
          <w:b/>
          <w:sz w:val="28"/>
          <w:szCs w:val="28"/>
        </w:rPr>
      </w:pPr>
      <w:bookmarkStart w:id="315" w:name="_Toc422395197"/>
      <w:bookmarkStart w:id="316" w:name="_Toc416271983"/>
      <w:bookmarkStart w:id="317" w:name="_Toc467135439"/>
      <w:bookmarkStart w:id="318" w:name="_Toc29145263"/>
      <w:bookmarkStart w:id="319" w:name="_Toc395802139"/>
      <w:bookmarkStart w:id="320" w:name="_Toc3612"/>
      <w:bookmarkStart w:id="321" w:name="_Toc6479"/>
      <w:r>
        <w:rPr>
          <w:rFonts w:hint="eastAsia" w:ascii="宋体" w:hAnsi="宋体" w:cs="宋体"/>
          <w:b/>
          <w:sz w:val="28"/>
          <w:szCs w:val="28"/>
          <w:lang w:val="en-US" w:eastAsia="zh-CN"/>
        </w:rPr>
        <w:t>2</w:t>
      </w:r>
      <w:r>
        <w:rPr>
          <w:rFonts w:hint="eastAsia" w:ascii="宋体" w:hAnsi="宋体" w:cs="宋体"/>
          <w:b/>
          <w:sz w:val="28"/>
          <w:szCs w:val="28"/>
        </w:rPr>
        <w:t>、法定代表人身份证明及授权委托书</w:t>
      </w:r>
      <w:bookmarkEnd w:id="315"/>
      <w:bookmarkEnd w:id="316"/>
      <w:bookmarkEnd w:id="317"/>
      <w:bookmarkEnd w:id="318"/>
      <w:bookmarkEnd w:id="319"/>
    </w:p>
    <w:p>
      <w:pPr>
        <w:jc w:val="center"/>
        <w:rPr>
          <w:rFonts w:hint="eastAsia" w:ascii="宋体" w:hAnsi="宋体" w:cs="宋体"/>
          <w:b/>
          <w:sz w:val="24"/>
          <w:szCs w:val="24"/>
        </w:rPr>
      </w:pPr>
      <w:bookmarkStart w:id="322" w:name="_Toc29145264"/>
      <w:bookmarkStart w:id="323" w:name="_Toc395802140"/>
      <w:bookmarkStart w:id="324" w:name="_Toc21827"/>
      <w:bookmarkStart w:id="325" w:name="_Toc422395198"/>
      <w:bookmarkStart w:id="326" w:name="_Toc416271984"/>
      <w:bookmarkStart w:id="327" w:name="_Toc467135440"/>
      <w:r>
        <w:rPr>
          <w:rFonts w:hint="eastAsia" w:ascii="宋体" w:hAnsi="宋体" w:cs="宋体"/>
          <w:b/>
          <w:sz w:val="24"/>
          <w:szCs w:val="24"/>
        </w:rPr>
        <w:t>（</w:t>
      </w:r>
      <w:r>
        <w:rPr>
          <w:rFonts w:hint="eastAsia" w:ascii="宋体" w:hAnsi="宋体" w:cs="宋体"/>
          <w:b/>
          <w:sz w:val="24"/>
          <w:szCs w:val="24"/>
          <w:lang w:val="en-US" w:eastAsia="zh-CN"/>
        </w:rPr>
        <w:t>1</w:t>
      </w:r>
      <w:r>
        <w:rPr>
          <w:rFonts w:hint="eastAsia" w:ascii="宋体" w:hAnsi="宋体" w:cs="宋体"/>
          <w:b/>
          <w:sz w:val="24"/>
          <w:szCs w:val="24"/>
        </w:rPr>
        <w:t>）法定代表人身份证明</w:t>
      </w:r>
      <w:bookmarkEnd w:id="322"/>
      <w:bookmarkEnd w:id="323"/>
      <w:bookmarkEnd w:id="324"/>
      <w:bookmarkEnd w:id="325"/>
      <w:bookmarkEnd w:id="326"/>
      <w:bookmarkEnd w:id="327"/>
    </w:p>
    <w:p>
      <w:pPr>
        <w:rPr>
          <w:rFonts w:hint="eastAsia" w:ascii="宋体" w:hAnsi="宋体" w:cs="宋体"/>
          <w:sz w:val="24"/>
        </w:rPr>
      </w:pPr>
    </w:p>
    <w:p>
      <w:pPr>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spacing w:line="500" w:lineRule="exact"/>
        <w:rPr>
          <w:rFonts w:hint="eastAsia" w:ascii="宋体" w:hAnsi="宋体" w:cs="宋体"/>
          <w:sz w:val="24"/>
          <w:u w:val="single"/>
        </w:rPr>
      </w:pPr>
      <w:r>
        <w:rPr>
          <w:rFonts w:hint="eastAsia" w:ascii="宋体" w:hAnsi="宋体" w:cs="宋体"/>
          <w:spacing w:val="40"/>
          <w:kern w:val="0"/>
          <w:sz w:val="24"/>
        </w:rPr>
        <w:t>单位性</w:t>
      </w:r>
      <w:r>
        <w:rPr>
          <w:rFonts w:hint="eastAsia" w:ascii="宋体" w:hAnsi="宋体" w:cs="宋体"/>
          <w:kern w:val="0"/>
          <w:sz w:val="24"/>
        </w:rPr>
        <w:t>质</w:t>
      </w:r>
      <w:r>
        <w:rPr>
          <w:rFonts w:hint="eastAsia" w:ascii="宋体" w:hAnsi="宋体" w:cs="宋体"/>
          <w:sz w:val="24"/>
        </w:rPr>
        <w:t>：</w:t>
      </w:r>
      <w:r>
        <w:rPr>
          <w:rFonts w:hint="eastAsia" w:ascii="宋体" w:hAnsi="宋体" w:cs="宋体"/>
          <w:sz w:val="24"/>
          <w:u w:val="single"/>
        </w:rPr>
        <w:t xml:space="preserve">                        </w:t>
      </w:r>
    </w:p>
    <w:p>
      <w:pPr>
        <w:spacing w:line="500" w:lineRule="exact"/>
        <w:rPr>
          <w:rFonts w:hint="eastAsia" w:ascii="宋体" w:hAnsi="宋体" w:cs="宋体"/>
          <w:sz w:val="24"/>
        </w:rPr>
      </w:pPr>
      <w:r>
        <w:rPr>
          <w:rFonts w:hint="eastAsia" w:ascii="宋体" w:hAnsi="宋体" w:cs="宋体"/>
          <w:spacing w:val="360"/>
          <w:kern w:val="0"/>
          <w:sz w:val="24"/>
        </w:rPr>
        <w:t>地</w:t>
      </w:r>
      <w:r>
        <w:rPr>
          <w:rFonts w:hint="eastAsia" w:ascii="宋体" w:hAnsi="宋体" w:cs="宋体"/>
          <w:kern w:val="0"/>
          <w:sz w:val="24"/>
        </w:rPr>
        <w:t>址</w:t>
      </w:r>
      <w:r>
        <w:rPr>
          <w:rFonts w:hint="eastAsia" w:ascii="宋体" w:hAnsi="宋体" w:cs="宋体"/>
          <w:sz w:val="24"/>
        </w:rPr>
        <w:t>：</w:t>
      </w:r>
      <w:r>
        <w:rPr>
          <w:rFonts w:hint="eastAsia" w:ascii="宋体" w:hAnsi="宋体" w:cs="宋体"/>
          <w:sz w:val="24"/>
          <w:u w:val="single"/>
        </w:rPr>
        <w:t xml:space="preserve">                        </w:t>
      </w:r>
    </w:p>
    <w:p>
      <w:pPr>
        <w:spacing w:line="500" w:lineRule="exact"/>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00" w:lineRule="exact"/>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500" w:lineRule="exact"/>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500" w:lineRule="exact"/>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pPr>
        <w:spacing w:line="500" w:lineRule="exact"/>
        <w:ind w:firstLine="480" w:firstLineChars="200"/>
        <w:rPr>
          <w:rFonts w:hint="eastAsia" w:ascii="宋体" w:hAnsi="宋体" w:cs="宋体"/>
          <w:sz w:val="24"/>
        </w:rPr>
      </w:pPr>
    </w:p>
    <w:p>
      <w:pPr>
        <w:spacing w:line="500" w:lineRule="exact"/>
        <w:ind w:firstLine="480" w:firstLineChars="200"/>
        <w:rPr>
          <w:rFonts w:hint="eastAsia" w:ascii="宋体" w:hAnsi="宋体" w:cs="宋体"/>
          <w:sz w:val="24"/>
        </w:rPr>
      </w:pPr>
      <w:r>
        <w:rPr>
          <w:rFonts w:hint="eastAsia" w:ascii="宋体" w:hAnsi="宋体" w:cs="宋体"/>
          <w:sz w:val="24"/>
        </w:rPr>
        <w:t>特此证明。</w:t>
      </w:r>
    </w:p>
    <w:p>
      <w:pPr>
        <w:spacing w:line="500" w:lineRule="exact"/>
        <w:rPr>
          <w:rFonts w:hint="eastAsia" w:ascii="宋体" w:hAnsi="宋体" w:cs="宋体"/>
          <w:sz w:val="24"/>
        </w:rPr>
      </w:pPr>
    </w:p>
    <w:p>
      <w:pPr>
        <w:spacing w:line="500" w:lineRule="exact"/>
        <w:rPr>
          <w:rFonts w:hint="eastAsia" w:ascii="宋体" w:hAnsi="宋体" w:cs="宋体"/>
          <w:sz w:val="24"/>
        </w:rPr>
      </w:pPr>
    </w:p>
    <w:p>
      <w:pPr>
        <w:spacing w:line="500" w:lineRule="exact"/>
        <w:jc w:val="right"/>
        <w:rPr>
          <w:rFonts w:hint="eastAsia"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500" w:lineRule="exact"/>
        <w:rPr>
          <w:rFonts w:hint="eastAsia" w:ascii="宋体" w:hAnsi="宋体" w:cs="宋体"/>
          <w:sz w:val="24"/>
        </w:rPr>
      </w:pPr>
    </w:p>
    <w:p>
      <w:pPr>
        <w:spacing w:line="400" w:lineRule="exact"/>
        <w:jc w:val="right"/>
        <w:rPr>
          <w:rFonts w:hint="eastAsia" w:ascii="宋体" w:hAnsi="宋体" w:cs="宋体"/>
          <w:sz w:val="24"/>
        </w:rPr>
      </w:pP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pStyle w:val="15"/>
        <w:rPr>
          <w:rFonts w:ascii="宋体" w:hAnsi="宋体"/>
          <w:sz w:val="24"/>
          <w:szCs w:val="24"/>
        </w:rPr>
      </w:pPr>
    </w:p>
    <w:p>
      <w:pPr>
        <w:jc w:val="center"/>
        <w:rPr>
          <w:rFonts w:hint="eastAsia" w:ascii="宋体" w:hAnsi="宋体" w:cs="宋体"/>
          <w:b/>
          <w:bCs/>
          <w:kern w:val="44"/>
          <w:sz w:val="24"/>
          <w:szCs w:val="24"/>
        </w:rPr>
      </w:pPr>
    </w:p>
    <w:p>
      <w:pPr>
        <w:pStyle w:val="15"/>
        <w:rPr>
          <w:rFonts w:hint="eastAsia"/>
        </w:rPr>
      </w:pPr>
    </w:p>
    <w:p>
      <w:pPr>
        <w:jc w:val="center"/>
        <w:rPr>
          <w:rFonts w:hint="eastAsia" w:ascii="宋体" w:hAnsi="宋体" w:cs="宋体"/>
          <w:b/>
          <w:sz w:val="24"/>
          <w:szCs w:val="24"/>
        </w:rPr>
      </w:pPr>
      <w:r>
        <w:rPr>
          <w:rFonts w:hint="eastAsia" w:ascii="宋体" w:hAnsi="宋体" w:cs="宋体"/>
          <w:b/>
          <w:bCs/>
          <w:kern w:val="44"/>
          <w:sz w:val="24"/>
          <w:szCs w:val="24"/>
        </w:rPr>
        <w:t>（</w:t>
      </w:r>
      <w:r>
        <w:rPr>
          <w:rFonts w:hint="eastAsia" w:ascii="宋体" w:hAnsi="宋体" w:cs="宋体"/>
          <w:b/>
          <w:bCs/>
          <w:kern w:val="44"/>
          <w:sz w:val="24"/>
          <w:szCs w:val="24"/>
          <w:lang w:val="en-US" w:eastAsia="zh-CN"/>
        </w:rPr>
        <w:t>2</w:t>
      </w:r>
      <w:r>
        <w:rPr>
          <w:rFonts w:hint="eastAsia" w:ascii="宋体" w:hAnsi="宋体" w:cs="宋体"/>
          <w:b/>
          <w:bCs/>
          <w:kern w:val="44"/>
          <w:sz w:val="24"/>
          <w:szCs w:val="24"/>
        </w:rPr>
        <w:t>）授权委托书</w:t>
      </w:r>
    </w:p>
    <w:p>
      <w:pPr>
        <w:spacing w:line="500" w:lineRule="exact"/>
        <w:rPr>
          <w:rFonts w:hint="eastAsia" w:ascii="宋体" w:hAnsi="宋体" w:cs="宋体"/>
          <w:sz w:val="24"/>
        </w:rPr>
      </w:pPr>
    </w:p>
    <w:p>
      <w:pPr>
        <w:spacing w:line="500" w:lineRule="exact"/>
        <w:ind w:firstLine="720" w:firstLineChars="300"/>
        <w:jc w:val="left"/>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（姓名）为我方代理人。代理人根据授权，以我方名义签署、澄清、递交、撤回、修改</w:t>
      </w:r>
      <w:r>
        <w:rPr>
          <w:rFonts w:hint="eastAsia" w:ascii="宋体" w:hAnsi="宋体" w:cs="宋体"/>
          <w:sz w:val="24"/>
          <w:u w:val="single"/>
        </w:rPr>
        <w:t xml:space="preserve">              </w:t>
      </w:r>
      <w:r>
        <w:rPr>
          <w:rFonts w:hint="eastAsia" w:ascii="宋体" w:hAnsi="宋体" w:cs="宋体"/>
          <w:sz w:val="24"/>
        </w:rPr>
        <w:t>（项目名称）施工响应文件、签订合同和处理有关事宜，其法律后果由我方承担。</w:t>
      </w:r>
    </w:p>
    <w:p>
      <w:pPr>
        <w:spacing w:line="500" w:lineRule="exact"/>
        <w:ind w:firstLine="480" w:firstLineChars="200"/>
        <w:rPr>
          <w:rFonts w:hint="eastAsia"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hint="eastAsia" w:ascii="宋体" w:hAnsi="宋体" w:cs="宋体"/>
          <w:sz w:val="24"/>
        </w:rPr>
      </w:pPr>
      <w:r>
        <w:rPr>
          <w:rFonts w:hint="eastAsia" w:ascii="宋体" w:hAnsi="宋体" w:cs="宋体"/>
          <w:sz w:val="24"/>
        </w:rPr>
        <w:t xml:space="preserve">代理人无转委托权。 </w:t>
      </w:r>
    </w:p>
    <w:p>
      <w:pPr>
        <w:spacing w:line="500" w:lineRule="exact"/>
        <w:rPr>
          <w:rFonts w:hint="eastAsia" w:ascii="宋体" w:hAnsi="宋体" w:cs="宋体"/>
          <w:sz w:val="24"/>
        </w:rPr>
      </w:pPr>
      <w:r>
        <w:rPr>
          <w:rFonts w:hint="eastAsia" w:ascii="宋体" w:hAnsi="宋体" w:cs="宋体"/>
          <w:sz w:val="24"/>
        </w:rPr>
        <w:t>附：法定代表人及授权委托人身份证。</w:t>
      </w:r>
    </w:p>
    <w:p>
      <w:pPr>
        <w:spacing w:line="500" w:lineRule="exact"/>
        <w:rPr>
          <w:rFonts w:hint="eastAsia" w:ascii="宋体" w:hAnsi="宋体" w:cs="宋体"/>
          <w:sz w:val="24"/>
        </w:rPr>
      </w:pPr>
    </w:p>
    <w:p>
      <w:pPr>
        <w:spacing w:line="500" w:lineRule="exact"/>
        <w:jc w:val="right"/>
        <w:rPr>
          <w:rFonts w:hint="eastAsia" w:ascii="宋体" w:hAnsi="宋体" w:cs="宋体"/>
          <w:sz w:val="24"/>
        </w:rPr>
      </w:pPr>
      <w:r>
        <w:rPr>
          <w:rFonts w:hint="eastAsia" w:ascii="宋体" w:hAnsi="宋体" w:cs="宋体"/>
          <w:sz w:val="24"/>
        </w:rPr>
        <w:t xml:space="preserve">                                </w:t>
      </w:r>
      <w:r>
        <w:rPr>
          <w:rFonts w:hint="eastAsia" w:ascii="宋体" w:hAnsi="宋体" w:cs="宋体"/>
          <w:spacing w:val="121"/>
          <w:kern w:val="0"/>
          <w:sz w:val="24"/>
        </w:rPr>
        <w:t>申请</w:t>
      </w:r>
      <w:r>
        <w:rPr>
          <w:rFonts w:hint="eastAsia" w:ascii="宋体" w:hAnsi="宋体" w:cs="宋体"/>
          <w:spacing w:val="-1"/>
          <w:kern w:val="0"/>
          <w:sz w:val="24"/>
        </w:rPr>
        <w:t>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（盖单位章）</w:t>
      </w:r>
    </w:p>
    <w:p>
      <w:pPr>
        <w:spacing w:line="500" w:lineRule="exact"/>
        <w:jc w:val="right"/>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eastAsia="zh-CN"/>
        </w:rPr>
        <w:t>或盖章</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pPr>
        <w:spacing w:line="500" w:lineRule="exact"/>
        <w:jc w:val="right"/>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eastAsia="zh-CN"/>
        </w:rPr>
        <w:t>或盖章</w:t>
      </w:r>
      <w:r>
        <w:rPr>
          <w:rFonts w:hint="eastAsia" w:ascii="宋体" w:hAnsi="宋体" w:cs="宋体"/>
          <w:sz w:val="24"/>
        </w:rPr>
        <w:t>）</w:t>
      </w:r>
    </w:p>
    <w:p>
      <w:pPr>
        <w:spacing w:line="500" w:lineRule="exact"/>
        <w:rPr>
          <w:rFonts w:hint="eastAsia"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pPr>
        <w:spacing w:line="500" w:lineRule="exact"/>
        <w:rPr>
          <w:rFonts w:hint="eastAsia" w:ascii="宋体" w:hAnsi="宋体" w:cs="宋体"/>
          <w:sz w:val="24"/>
        </w:rPr>
      </w:pPr>
    </w:p>
    <w:p>
      <w:pPr>
        <w:spacing w:line="500" w:lineRule="exact"/>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bookmarkEnd w:id="320"/>
    <w:bookmarkEnd w:id="321"/>
    <w:p>
      <w:pPr>
        <w:spacing w:line="420" w:lineRule="exact"/>
        <w:outlineLvl w:val="1"/>
        <w:rPr>
          <w:rFonts w:ascii="宋体"/>
          <w:b/>
          <w:bCs/>
        </w:rPr>
      </w:pPr>
      <w:bookmarkStart w:id="328" w:name="_Toc465933810"/>
      <w:bookmarkStart w:id="329" w:name="_Toc23323"/>
      <w:bookmarkStart w:id="330" w:name="_Toc22239"/>
      <w:r>
        <w:rPr>
          <w:rFonts w:hint="eastAsia" w:ascii="宋体" w:hAnsi="宋体"/>
          <w:sz w:val="24"/>
        </w:rPr>
        <w:br w:type="page"/>
      </w:r>
      <w:bookmarkStart w:id="331" w:name="_Toc24452"/>
      <w:r>
        <w:rPr>
          <w:rFonts w:hint="eastAsia"/>
          <w:b/>
          <w:bCs/>
          <w:sz w:val="28"/>
          <w:szCs w:val="28"/>
          <w:lang w:val="en-US" w:eastAsia="zh-CN"/>
        </w:rPr>
        <w:t>3</w:t>
      </w:r>
      <w:r>
        <w:rPr>
          <w:rFonts w:hint="eastAsia"/>
          <w:b/>
          <w:bCs/>
          <w:sz w:val="28"/>
          <w:szCs w:val="28"/>
        </w:rPr>
        <w:t>、</w:t>
      </w:r>
      <w:bookmarkEnd w:id="328"/>
      <w:bookmarkEnd w:id="329"/>
      <w:bookmarkEnd w:id="330"/>
      <w:bookmarkStart w:id="332" w:name="_Toc487641700"/>
      <w:bookmarkStart w:id="333" w:name="_Toc487461438"/>
      <w:bookmarkStart w:id="334" w:name="_Toc465933812"/>
      <w:r>
        <w:rPr>
          <w:rFonts w:hint="eastAsia"/>
          <w:b/>
          <w:bCs/>
          <w:sz w:val="28"/>
          <w:szCs w:val="28"/>
        </w:rPr>
        <w:t>投标报价书</w:t>
      </w:r>
      <w:bookmarkEnd w:id="331"/>
      <w:bookmarkEnd w:id="332"/>
      <w:bookmarkEnd w:id="333"/>
    </w:p>
    <w:p>
      <w:pPr>
        <w:rPr>
          <w:rFonts w:ascii="宋体"/>
          <w:b/>
          <w:bCs/>
        </w:rPr>
      </w:pPr>
    </w:p>
    <w:p>
      <w:pPr>
        <w:rPr>
          <w:rFonts w:ascii="宋体"/>
          <w:b/>
          <w:bCs/>
        </w:rPr>
      </w:pPr>
    </w:p>
    <w:p>
      <w:pPr>
        <w:jc w:val="center"/>
        <w:rPr>
          <w:rFonts w:ascii="宋体" w:cs="宋体"/>
          <w:b/>
          <w:bCs/>
          <w:sz w:val="44"/>
          <w:szCs w:val="44"/>
        </w:rPr>
      </w:pPr>
      <w:r>
        <w:rPr>
          <w:rFonts w:hint="eastAsia" w:ascii="宋体" w:cs="宋体"/>
          <w:b/>
          <w:bCs/>
          <w:sz w:val="44"/>
          <w:szCs w:val="44"/>
        </w:rPr>
        <w:t xml:space="preserve">投  标  总  价 </w:t>
      </w:r>
    </w:p>
    <w:p>
      <w:pPr>
        <w:rPr>
          <w:rFonts w:ascii="宋体" w:cs="宋体"/>
          <w:b/>
          <w:bCs/>
        </w:rPr>
      </w:pPr>
      <w:r>
        <w:rPr>
          <w:rFonts w:hint="eastAsia" w:ascii="宋体" w:cs="宋体"/>
          <w:b/>
          <w:bCs/>
        </w:rPr>
        <w:t xml:space="preserve"> </w:t>
      </w:r>
    </w:p>
    <w:p>
      <w:pPr>
        <w:rPr>
          <w:rFonts w:ascii="宋体"/>
        </w:rPr>
      </w:pPr>
    </w:p>
    <w:p>
      <w:pPr>
        <w:spacing w:line="500" w:lineRule="exact"/>
        <w:ind w:firstLine="420"/>
        <w:rPr>
          <w:rFonts w:ascii="宋体"/>
          <w:sz w:val="24"/>
          <w:szCs w:val="24"/>
        </w:rPr>
      </w:pPr>
      <w:r>
        <w:rPr>
          <w:rFonts w:hint="eastAsia" w:ascii="宋体" w:cs="宋体"/>
          <w:sz w:val="24"/>
          <w:szCs w:val="24"/>
        </w:rPr>
        <w:t>工程名称：</w:t>
      </w:r>
      <w:r>
        <w:rPr>
          <w:rFonts w:hint="eastAsia" w:ascii="宋体" w:cs="宋体"/>
          <w:sz w:val="24"/>
          <w:szCs w:val="24"/>
          <w:u w:val="single"/>
        </w:rPr>
        <w:t xml:space="preserve">                                                  </w:t>
      </w:r>
    </w:p>
    <w:p>
      <w:pPr>
        <w:spacing w:line="500" w:lineRule="exact"/>
        <w:ind w:firstLine="420"/>
        <w:rPr>
          <w:rFonts w:ascii="宋体" w:cs="宋体"/>
          <w:sz w:val="24"/>
          <w:szCs w:val="24"/>
        </w:rPr>
      </w:pPr>
      <w:r>
        <w:rPr>
          <w:rFonts w:hint="eastAsia" w:ascii="宋体" w:cs="宋体"/>
          <w:sz w:val="24"/>
          <w:szCs w:val="24"/>
        </w:rPr>
        <w:t xml:space="preserve"> </w:t>
      </w:r>
    </w:p>
    <w:p>
      <w:pPr>
        <w:spacing w:line="500" w:lineRule="exact"/>
        <w:ind w:firstLine="420"/>
        <w:rPr>
          <w:rFonts w:ascii="宋体"/>
          <w:sz w:val="24"/>
          <w:szCs w:val="24"/>
        </w:rPr>
      </w:pPr>
      <w:r>
        <w:rPr>
          <w:rFonts w:hint="eastAsia" w:ascii="宋体" w:cs="宋体"/>
          <w:sz w:val="24"/>
          <w:szCs w:val="24"/>
        </w:rPr>
        <w:t>投标总价（大写）：</w:t>
      </w:r>
      <w:r>
        <w:rPr>
          <w:rFonts w:hint="eastAsia" w:ascii="宋体" w:cs="宋体"/>
          <w:sz w:val="24"/>
          <w:szCs w:val="24"/>
          <w:u w:val="single"/>
        </w:rPr>
        <w:t xml:space="preserve">                                           </w:t>
      </w:r>
    </w:p>
    <w:p>
      <w:pPr>
        <w:pStyle w:val="22"/>
        <w:rPr>
          <w:rFonts w:ascii="宋体" w:eastAsia="宋体" w:cs="宋体"/>
          <w:sz w:val="24"/>
          <w:szCs w:val="24"/>
        </w:rPr>
      </w:pPr>
      <w:r>
        <w:rPr>
          <w:rFonts w:hint="eastAsia" w:ascii="宋体" w:eastAsia="宋体" w:cs="宋体"/>
          <w:sz w:val="24"/>
          <w:szCs w:val="24"/>
        </w:rPr>
        <w:t xml:space="preserve">  </w:t>
      </w:r>
    </w:p>
    <w:p>
      <w:pPr>
        <w:rPr>
          <w:rFonts w:ascii="宋体"/>
          <w:sz w:val="24"/>
          <w:szCs w:val="24"/>
        </w:rPr>
      </w:pPr>
    </w:p>
    <w:p>
      <w:pPr>
        <w:ind w:firstLine="360" w:firstLineChars="150"/>
        <w:rPr>
          <w:rFonts w:ascii="宋体"/>
          <w:sz w:val="24"/>
          <w:szCs w:val="24"/>
        </w:rPr>
      </w:pPr>
      <w:r>
        <w:rPr>
          <w:rFonts w:hint="eastAsia" w:ascii="宋体" w:cs="宋体"/>
          <w:sz w:val="24"/>
          <w:szCs w:val="24"/>
        </w:rPr>
        <w:t xml:space="preserve"> 投  标  人：</w:t>
      </w:r>
      <w:r>
        <w:rPr>
          <w:rFonts w:hint="eastAsia" w:ascii="宋体" w:cs="宋体"/>
          <w:sz w:val="24"/>
          <w:szCs w:val="24"/>
          <w:u w:val="single"/>
        </w:rPr>
        <w:t xml:space="preserve">                                        </w:t>
      </w:r>
      <w:r>
        <w:rPr>
          <w:rFonts w:hint="eastAsia" w:ascii="宋体" w:cs="宋体"/>
          <w:sz w:val="24"/>
          <w:szCs w:val="24"/>
        </w:rPr>
        <w:t>（单位盖章）</w:t>
      </w:r>
    </w:p>
    <w:p>
      <w:pPr>
        <w:rPr>
          <w:rFonts w:ascii="宋体" w:cs="宋体"/>
          <w:sz w:val="24"/>
          <w:szCs w:val="24"/>
        </w:rPr>
      </w:pPr>
      <w:r>
        <w:rPr>
          <w:rFonts w:hint="eastAsia" w:ascii="宋体" w:cs="宋体"/>
          <w:sz w:val="24"/>
          <w:szCs w:val="24"/>
        </w:rPr>
        <w:t xml:space="preserve"> </w:t>
      </w:r>
    </w:p>
    <w:p>
      <w:pPr>
        <w:rPr>
          <w:rFonts w:ascii="宋体"/>
          <w:sz w:val="24"/>
          <w:szCs w:val="24"/>
        </w:rPr>
      </w:pPr>
      <w:r>
        <w:rPr>
          <w:rFonts w:hint="eastAsia" w:ascii="宋体" w:cs="宋体"/>
          <w:sz w:val="24"/>
          <w:szCs w:val="24"/>
        </w:rPr>
        <w:t xml:space="preserve">   法定代表人</w:t>
      </w:r>
    </w:p>
    <w:p>
      <w:pPr>
        <w:ind w:firstLine="360" w:firstLineChars="150"/>
        <w:rPr>
          <w:rFonts w:ascii="宋体" w:cs="宋体"/>
          <w:sz w:val="24"/>
          <w:szCs w:val="24"/>
        </w:rPr>
      </w:pPr>
      <w:r>
        <w:rPr>
          <w:rFonts w:hint="eastAsia" w:ascii="宋体" w:cs="宋体"/>
          <w:sz w:val="24"/>
          <w:szCs w:val="24"/>
        </w:rPr>
        <w:t>或其委托代理人：</w:t>
      </w:r>
      <w:r>
        <w:rPr>
          <w:rFonts w:hint="eastAsia" w:ascii="宋体" w:cs="宋体"/>
          <w:sz w:val="24"/>
          <w:szCs w:val="24"/>
          <w:u w:val="single"/>
        </w:rPr>
        <w:t xml:space="preserve">                                     </w:t>
      </w:r>
      <w:r>
        <w:rPr>
          <w:rFonts w:hint="eastAsia" w:ascii="宋体" w:cs="宋体"/>
          <w:sz w:val="24"/>
          <w:szCs w:val="24"/>
        </w:rPr>
        <w:t xml:space="preserve">（签字或盖章） </w:t>
      </w:r>
    </w:p>
    <w:p>
      <w:pPr>
        <w:rPr>
          <w:rFonts w:ascii="宋体" w:cs="宋体"/>
          <w:sz w:val="24"/>
          <w:szCs w:val="24"/>
        </w:rPr>
      </w:pPr>
      <w:r>
        <w:rPr>
          <w:rFonts w:hint="eastAsia" w:ascii="宋体" w:cs="宋体"/>
          <w:sz w:val="24"/>
          <w:szCs w:val="24"/>
        </w:rPr>
        <w:t xml:space="preserve">   </w:t>
      </w:r>
    </w:p>
    <w:p>
      <w:pPr>
        <w:rPr>
          <w:rFonts w:hint="eastAsia" w:ascii="宋体" w:cs="宋体"/>
          <w:sz w:val="24"/>
          <w:szCs w:val="24"/>
        </w:rPr>
      </w:pPr>
    </w:p>
    <w:p>
      <w:pPr>
        <w:rPr>
          <w:rFonts w:ascii="宋体" w:cs="宋体"/>
          <w:sz w:val="24"/>
          <w:szCs w:val="24"/>
          <w:highlight w:val="red"/>
        </w:rPr>
      </w:pPr>
    </w:p>
    <w:p>
      <w:pPr>
        <w:ind w:firstLine="360" w:firstLineChars="150"/>
        <w:rPr>
          <w:rFonts w:ascii="宋体"/>
          <w:sz w:val="24"/>
          <w:szCs w:val="24"/>
        </w:rPr>
      </w:pPr>
    </w:p>
    <w:p>
      <w:pPr>
        <w:rPr>
          <w:rFonts w:ascii="宋体"/>
          <w:sz w:val="24"/>
          <w:szCs w:val="24"/>
        </w:rPr>
      </w:pPr>
    </w:p>
    <w:p>
      <w:pPr>
        <w:adjustRightInd w:val="0"/>
        <w:snapToGrid w:val="0"/>
        <w:spacing w:before="62" w:beforeLines="20" w:after="62" w:afterLines="20"/>
        <w:ind w:firstLine="307" w:firstLineChars="128"/>
        <w:rPr>
          <w:rFonts w:hint="eastAsia" w:ascii="宋体" w:cs="宋体"/>
          <w:sz w:val="24"/>
          <w:szCs w:val="24"/>
        </w:rPr>
      </w:pPr>
      <w:r>
        <w:rPr>
          <w:rFonts w:hint="eastAsia" w:ascii="宋体" w:cs="宋体"/>
          <w:sz w:val="24"/>
          <w:szCs w:val="24"/>
        </w:rPr>
        <w:t>时间：</w:t>
      </w:r>
      <w:r>
        <w:rPr>
          <w:rFonts w:hint="eastAsia" w:ascii="宋体" w:cs="宋体"/>
          <w:sz w:val="24"/>
          <w:szCs w:val="24"/>
          <w:u w:val="single"/>
        </w:rPr>
        <w:t xml:space="preserve">        </w:t>
      </w:r>
      <w:r>
        <w:rPr>
          <w:rFonts w:hint="eastAsia" w:ascii="宋体" w:cs="宋体"/>
          <w:sz w:val="24"/>
          <w:szCs w:val="24"/>
        </w:rPr>
        <w:t>年</w:t>
      </w:r>
      <w:r>
        <w:rPr>
          <w:rFonts w:hint="eastAsia" w:ascii="宋体" w:cs="宋体"/>
          <w:sz w:val="24"/>
          <w:szCs w:val="24"/>
          <w:u w:val="single"/>
        </w:rPr>
        <w:t xml:space="preserve">      </w:t>
      </w:r>
      <w:r>
        <w:rPr>
          <w:rFonts w:hint="eastAsia" w:ascii="宋体" w:cs="宋体"/>
          <w:sz w:val="24"/>
          <w:szCs w:val="24"/>
        </w:rPr>
        <w:t>月</w:t>
      </w:r>
      <w:r>
        <w:rPr>
          <w:rFonts w:hint="eastAsia" w:ascii="宋体" w:cs="宋体"/>
          <w:sz w:val="24"/>
          <w:szCs w:val="24"/>
          <w:u w:val="single"/>
        </w:rPr>
        <w:t xml:space="preserve">      </w:t>
      </w:r>
      <w:r>
        <w:rPr>
          <w:rFonts w:hint="eastAsia" w:ascii="宋体" w:cs="宋体"/>
          <w:sz w:val="24"/>
          <w:szCs w:val="24"/>
        </w:rPr>
        <w:t>日</w:t>
      </w:r>
      <w:bookmarkEnd w:id="334"/>
      <w:bookmarkStart w:id="335" w:name="_Toc12041"/>
      <w:bookmarkStart w:id="336" w:name="_Toc24447"/>
      <w:bookmarkStart w:id="337" w:name="_Toc465933815"/>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pStyle w:val="15"/>
        <w:ind w:firstLine="480"/>
        <w:rPr>
          <w:rFonts w:hint="eastAsia" w:ascii="宋体" w:cs="宋体"/>
          <w:sz w:val="24"/>
          <w:szCs w:val="24"/>
        </w:rPr>
      </w:pPr>
    </w:p>
    <w:p>
      <w:pPr>
        <w:rPr>
          <w:rFonts w:hint="eastAsia"/>
        </w:rPr>
      </w:pPr>
      <w:r>
        <w:rPr>
          <w:rFonts w:hint="eastAsia" w:ascii="宋体" w:hAnsi="宋体" w:cs="宋体"/>
          <w:b/>
          <w:bCs/>
          <w:kern w:val="0"/>
          <w:sz w:val="24"/>
          <w:szCs w:val="24"/>
          <w:lang w:eastAsia="zh-CN"/>
        </w:rPr>
        <w:t>附：</w:t>
      </w:r>
      <w:r>
        <w:rPr>
          <w:rFonts w:hint="eastAsia" w:ascii="宋体" w:hAnsi="宋体" w:cs="宋体"/>
          <w:b/>
          <w:bCs/>
          <w:kern w:val="0"/>
          <w:sz w:val="24"/>
          <w:szCs w:val="24"/>
        </w:rPr>
        <w:t>已标价的工程量清单</w:t>
      </w:r>
    </w:p>
    <w:p>
      <w:pPr>
        <w:pStyle w:val="15"/>
        <w:ind w:firstLine="480"/>
        <w:rPr>
          <w:rFonts w:hint="eastAsia" w:ascii="宋体" w:cs="宋体"/>
          <w:sz w:val="24"/>
          <w:szCs w:val="24"/>
        </w:rPr>
      </w:pPr>
    </w:p>
    <w:p>
      <w:pPr>
        <w:jc w:val="center"/>
        <w:rPr>
          <w:rFonts w:hint="eastAsia"/>
          <w:b/>
          <w:bCs/>
          <w:sz w:val="24"/>
          <w:szCs w:val="24"/>
        </w:rPr>
      </w:pPr>
      <w:r>
        <w:rPr>
          <w:rFonts w:hint="eastAsia" w:ascii="宋体" w:cs="宋体"/>
          <w:szCs w:val="24"/>
        </w:rPr>
        <w:br w:type="page"/>
      </w:r>
      <w:bookmarkEnd w:id="335"/>
      <w:bookmarkEnd w:id="336"/>
      <w:bookmarkEnd w:id="337"/>
      <w:bookmarkStart w:id="338" w:name="_Toc395802153"/>
      <w:bookmarkStart w:id="339" w:name="_Toc29145275"/>
      <w:bookmarkStart w:id="340" w:name="_Toc416271995"/>
      <w:bookmarkStart w:id="341" w:name="_Toc422395209"/>
      <w:bookmarkStart w:id="342" w:name="_Toc467135450"/>
      <w:bookmarkStart w:id="343" w:name="_Toc30395"/>
      <w:bookmarkStart w:id="344" w:name="_Toc688"/>
      <w:bookmarkStart w:id="345" w:name="_Toc465933819"/>
    </w:p>
    <w:p>
      <w:pPr>
        <w:numPr>
          <w:ilvl w:val="0"/>
          <w:numId w:val="0"/>
        </w:numPr>
        <w:jc w:val="center"/>
        <w:rPr>
          <w:rFonts w:hint="eastAsia"/>
          <w:b/>
          <w:bCs/>
          <w:sz w:val="28"/>
          <w:szCs w:val="28"/>
        </w:rPr>
      </w:pPr>
      <w:r>
        <w:rPr>
          <w:rFonts w:hint="eastAsia"/>
          <w:b/>
          <w:bCs/>
          <w:sz w:val="28"/>
          <w:szCs w:val="28"/>
          <w:lang w:val="en-US" w:eastAsia="zh-CN"/>
        </w:rPr>
        <w:t>4、</w:t>
      </w:r>
      <w:r>
        <w:rPr>
          <w:rFonts w:hint="eastAsia"/>
          <w:b/>
          <w:bCs/>
          <w:sz w:val="28"/>
          <w:szCs w:val="28"/>
        </w:rPr>
        <w:t>资格审查资料</w:t>
      </w:r>
      <w:bookmarkEnd w:id="338"/>
      <w:bookmarkEnd w:id="339"/>
      <w:bookmarkEnd w:id="340"/>
      <w:bookmarkEnd w:id="341"/>
      <w:bookmarkEnd w:id="342"/>
    </w:p>
    <w:p>
      <w:pPr>
        <w:pStyle w:val="15"/>
        <w:numPr>
          <w:ilvl w:val="0"/>
          <w:numId w:val="0"/>
        </w:numPr>
        <w:ind w:leftChars="400"/>
        <w:rPr>
          <w:rFonts w:hint="eastAsia"/>
        </w:rPr>
      </w:pPr>
    </w:p>
    <w:p>
      <w:pPr>
        <w:jc w:val="center"/>
        <w:rPr>
          <w:rFonts w:hint="eastAsia"/>
          <w:b/>
          <w:bCs/>
          <w:sz w:val="24"/>
          <w:szCs w:val="24"/>
        </w:rPr>
      </w:pPr>
      <w:bookmarkStart w:id="346" w:name="_Toc416271996"/>
      <w:bookmarkStart w:id="347" w:name="_Toc29145276"/>
      <w:bookmarkStart w:id="348" w:name="_Toc395802154"/>
      <w:bookmarkStart w:id="349" w:name="_Toc467135451"/>
      <w:bookmarkStart w:id="350" w:name="_Toc422395210"/>
      <w:r>
        <w:rPr>
          <w:rFonts w:hint="eastAsia"/>
          <w:b/>
          <w:bCs/>
          <w:sz w:val="24"/>
          <w:szCs w:val="24"/>
          <w:lang w:val="en-US" w:eastAsia="zh-CN"/>
        </w:rPr>
        <w:t>4</w:t>
      </w:r>
      <w:r>
        <w:rPr>
          <w:rFonts w:hint="eastAsia"/>
          <w:b/>
          <w:bCs/>
          <w:sz w:val="24"/>
          <w:szCs w:val="24"/>
        </w:rPr>
        <w:t>.1 供应商基本情况表</w:t>
      </w:r>
      <w:bookmarkEnd w:id="346"/>
      <w:bookmarkEnd w:id="347"/>
      <w:bookmarkEnd w:id="348"/>
      <w:bookmarkEnd w:id="349"/>
      <w:bookmarkEnd w:id="350"/>
    </w:p>
    <w:p>
      <w:pPr>
        <w:pStyle w:val="15"/>
        <w:rPr>
          <w:rFonts w:hint="eastAsia"/>
        </w:rPr>
      </w:pPr>
    </w:p>
    <w:tbl>
      <w:tblPr>
        <w:tblStyle w:val="1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050"/>
        <w:gridCol w:w="1683"/>
        <w:gridCol w:w="1210"/>
        <w:gridCol w:w="1222"/>
        <w:gridCol w:w="161"/>
        <w:gridCol w:w="726"/>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供应商名称</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注册地址</w:t>
            </w:r>
          </w:p>
        </w:tc>
        <w:tc>
          <w:tcPr>
            <w:tcW w:w="3943" w:type="dxa"/>
            <w:gridSpan w:val="3"/>
            <w:vAlign w:val="center"/>
          </w:tcPr>
          <w:p>
            <w:pPr>
              <w:spacing w:line="360" w:lineRule="auto"/>
              <w:jc w:val="center"/>
              <w:rPr>
                <w:rFonts w:hint="eastAsia" w:ascii="宋体" w:hAnsi="宋体" w:cs="宋体"/>
                <w:bCs/>
                <w:sz w:val="24"/>
                <w:szCs w:val="24"/>
              </w:rPr>
            </w:pPr>
          </w:p>
        </w:tc>
        <w:tc>
          <w:tcPr>
            <w:tcW w:w="1222"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邮政编码</w:t>
            </w:r>
          </w:p>
        </w:tc>
        <w:tc>
          <w:tcPr>
            <w:tcW w:w="2176" w:type="dxa"/>
            <w:gridSpan w:val="3"/>
            <w:vAlign w:val="center"/>
          </w:tcPr>
          <w:p>
            <w:pPr>
              <w:spacing w:line="360" w:lineRule="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74" w:type="dxa"/>
            <w:vMerge w:val="restart"/>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联系方式</w:t>
            </w:r>
          </w:p>
        </w:tc>
        <w:tc>
          <w:tcPr>
            <w:tcW w:w="1050"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联系人</w:t>
            </w:r>
          </w:p>
        </w:tc>
        <w:tc>
          <w:tcPr>
            <w:tcW w:w="2893" w:type="dxa"/>
            <w:gridSpan w:val="2"/>
            <w:vAlign w:val="center"/>
          </w:tcPr>
          <w:p>
            <w:pPr>
              <w:spacing w:line="360" w:lineRule="auto"/>
              <w:jc w:val="center"/>
              <w:rPr>
                <w:rFonts w:hint="eastAsia" w:ascii="宋体" w:hAnsi="宋体" w:cs="宋体"/>
                <w:bCs/>
                <w:sz w:val="24"/>
                <w:szCs w:val="24"/>
              </w:rPr>
            </w:pPr>
          </w:p>
        </w:tc>
        <w:tc>
          <w:tcPr>
            <w:tcW w:w="1222"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电话</w:t>
            </w:r>
          </w:p>
        </w:tc>
        <w:tc>
          <w:tcPr>
            <w:tcW w:w="2176" w:type="dxa"/>
            <w:gridSpan w:val="3"/>
            <w:vAlign w:val="center"/>
          </w:tcPr>
          <w:p>
            <w:pPr>
              <w:spacing w:line="360" w:lineRule="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74" w:type="dxa"/>
            <w:vMerge w:val="continue"/>
            <w:vAlign w:val="center"/>
          </w:tcPr>
          <w:p>
            <w:pPr>
              <w:rPr>
                <w:rFonts w:hint="eastAsia" w:ascii="宋体" w:hAnsi="宋体" w:cs="宋体"/>
                <w:bCs/>
                <w:sz w:val="24"/>
                <w:szCs w:val="24"/>
              </w:rPr>
            </w:pPr>
          </w:p>
        </w:tc>
        <w:tc>
          <w:tcPr>
            <w:tcW w:w="1050"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传真</w:t>
            </w:r>
          </w:p>
        </w:tc>
        <w:tc>
          <w:tcPr>
            <w:tcW w:w="2893" w:type="dxa"/>
            <w:gridSpan w:val="2"/>
            <w:vAlign w:val="center"/>
          </w:tcPr>
          <w:p>
            <w:pPr>
              <w:spacing w:line="360" w:lineRule="auto"/>
              <w:jc w:val="center"/>
              <w:rPr>
                <w:rFonts w:hint="eastAsia" w:ascii="宋体" w:hAnsi="宋体" w:cs="宋体"/>
                <w:bCs/>
                <w:sz w:val="24"/>
                <w:szCs w:val="24"/>
              </w:rPr>
            </w:pPr>
          </w:p>
        </w:tc>
        <w:tc>
          <w:tcPr>
            <w:tcW w:w="1222"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网址</w:t>
            </w:r>
          </w:p>
        </w:tc>
        <w:tc>
          <w:tcPr>
            <w:tcW w:w="2176" w:type="dxa"/>
            <w:gridSpan w:val="3"/>
            <w:vAlign w:val="center"/>
          </w:tcPr>
          <w:p>
            <w:pPr>
              <w:spacing w:line="360" w:lineRule="auto"/>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组织结构</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法定代表人</w:t>
            </w:r>
          </w:p>
        </w:tc>
        <w:tc>
          <w:tcPr>
            <w:tcW w:w="1050"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姓名</w:t>
            </w:r>
          </w:p>
        </w:tc>
        <w:tc>
          <w:tcPr>
            <w:tcW w:w="1683" w:type="dxa"/>
            <w:vAlign w:val="center"/>
          </w:tcPr>
          <w:p>
            <w:pPr>
              <w:spacing w:line="360" w:lineRule="auto"/>
              <w:jc w:val="center"/>
              <w:rPr>
                <w:rFonts w:hint="eastAsia" w:ascii="宋体" w:hAnsi="宋体" w:cs="宋体"/>
                <w:bCs/>
                <w:sz w:val="24"/>
                <w:szCs w:val="24"/>
              </w:rPr>
            </w:pPr>
          </w:p>
        </w:tc>
        <w:tc>
          <w:tcPr>
            <w:tcW w:w="1210"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技术职称</w:t>
            </w:r>
          </w:p>
        </w:tc>
        <w:tc>
          <w:tcPr>
            <w:tcW w:w="1383" w:type="dxa"/>
            <w:gridSpan w:val="2"/>
            <w:vAlign w:val="center"/>
          </w:tcPr>
          <w:p>
            <w:pPr>
              <w:spacing w:line="360" w:lineRule="auto"/>
              <w:jc w:val="center"/>
              <w:rPr>
                <w:rFonts w:hint="eastAsia" w:ascii="宋体" w:hAnsi="宋体" w:cs="宋体"/>
                <w:bCs/>
                <w:sz w:val="24"/>
                <w:szCs w:val="24"/>
              </w:rPr>
            </w:pPr>
          </w:p>
        </w:tc>
        <w:tc>
          <w:tcPr>
            <w:tcW w:w="726"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电话</w:t>
            </w:r>
          </w:p>
        </w:tc>
        <w:tc>
          <w:tcPr>
            <w:tcW w:w="1289" w:type="dxa"/>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成立时间</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营业执照号</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注册资金</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开户银行</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账号</w:t>
            </w:r>
          </w:p>
        </w:tc>
        <w:tc>
          <w:tcPr>
            <w:tcW w:w="7341" w:type="dxa"/>
            <w:gridSpan w:val="7"/>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经营范围</w:t>
            </w:r>
          </w:p>
        </w:tc>
        <w:tc>
          <w:tcPr>
            <w:tcW w:w="7341" w:type="dxa"/>
            <w:gridSpan w:val="7"/>
            <w:vAlign w:val="center"/>
          </w:tcPr>
          <w:p>
            <w:pPr>
              <w:spacing w:line="360" w:lineRule="auto"/>
              <w:ind w:firstLine="480" w:firstLineChars="200"/>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87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备注</w:t>
            </w:r>
          </w:p>
        </w:tc>
        <w:tc>
          <w:tcPr>
            <w:tcW w:w="7341" w:type="dxa"/>
            <w:gridSpan w:val="7"/>
            <w:vAlign w:val="center"/>
          </w:tcPr>
          <w:p>
            <w:pPr>
              <w:spacing w:line="360" w:lineRule="auto"/>
              <w:ind w:firstLine="480" w:firstLineChars="200"/>
              <w:rPr>
                <w:rFonts w:hint="eastAsia" w:ascii="宋体" w:hAnsi="宋体" w:cs="宋体"/>
                <w:bCs/>
                <w:sz w:val="24"/>
                <w:szCs w:val="24"/>
              </w:rPr>
            </w:pPr>
          </w:p>
        </w:tc>
      </w:tr>
    </w:tbl>
    <w:p>
      <w:pPr>
        <w:spacing w:line="360" w:lineRule="auto"/>
        <w:ind w:firstLine="525" w:firstLineChars="250"/>
        <w:rPr>
          <w:rFonts w:hint="eastAsia" w:ascii="宋体" w:hAnsi="宋体" w:cs="宋体"/>
          <w:bCs/>
        </w:rPr>
      </w:pPr>
    </w:p>
    <w:p>
      <w:pPr>
        <w:spacing w:line="360" w:lineRule="auto"/>
        <w:ind w:firstLine="600" w:firstLineChars="250"/>
        <w:rPr>
          <w:rFonts w:hint="eastAsia" w:ascii="宋体" w:hAnsi="宋体" w:cs="宋体"/>
          <w:bCs/>
          <w:sz w:val="24"/>
          <w:szCs w:val="24"/>
        </w:rPr>
      </w:pPr>
      <w:r>
        <w:rPr>
          <w:rFonts w:hint="eastAsia" w:ascii="宋体" w:hAnsi="宋体" w:cs="宋体"/>
          <w:bCs/>
          <w:sz w:val="24"/>
          <w:szCs w:val="24"/>
        </w:rPr>
        <w:t>备注：本表后应附企业营业执照。所附复印件需加盖供应商单位公章。</w:t>
      </w:r>
      <w:bookmarkEnd w:id="343"/>
      <w:bookmarkEnd w:id="344"/>
      <w:bookmarkEnd w:id="345"/>
      <w:bookmarkStart w:id="351" w:name="_Toc31934"/>
      <w:bookmarkStart w:id="352" w:name="_Toc30650"/>
      <w:bookmarkStart w:id="353" w:name="_Toc465933821"/>
    </w:p>
    <w:p>
      <w:pPr>
        <w:spacing w:line="360" w:lineRule="auto"/>
        <w:ind w:firstLine="600" w:firstLineChars="250"/>
        <w:rPr>
          <w:rFonts w:hint="eastAsia" w:ascii="宋体" w:hAnsi="宋体" w:cs="宋体"/>
          <w:bCs/>
          <w:sz w:val="24"/>
          <w:szCs w:val="24"/>
        </w:rPr>
      </w:pPr>
    </w:p>
    <w:bookmarkEnd w:id="351"/>
    <w:bookmarkEnd w:id="352"/>
    <w:p>
      <w:pPr>
        <w:jc w:val="center"/>
        <w:rPr>
          <w:rFonts w:hint="eastAsia"/>
          <w:b/>
          <w:bCs/>
          <w:sz w:val="28"/>
          <w:szCs w:val="28"/>
        </w:rPr>
      </w:pPr>
    </w:p>
    <w:p>
      <w:pPr>
        <w:pStyle w:val="15"/>
        <w:rPr>
          <w:rFonts w:hint="eastAsia"/>
          <w:b/>
          <w:bCs/>
          <w:sz w:val="28"/>
          <w:szCs w:val="28"/>
        </w:rPr>
      </w:pPr>
    </w:p>
    <w:p>
      <w:pPr>
        <w:jc w:val="both"/>
        <w:rPr>
          <w:rFonts w:hint="eastAsia"/>
          <w:b/>
          <w:bCs/>
          <w:sz w:val="28"/>
          <w:szCs w:val="28"/>
        </w:rPr>
      </w:pPr>
    </w:p>
    <w:p>
      <w:pPr>
        <w:pStyle w:val="15"/>
        <w:rPr>
          <w:rFonts w:hint="eastAsia"/>
        </w:rPr>
      </w:pPr>
    </w:p>
    <w:p>
      <w:pPr>
        <w:jc w:val="center"/>
        <w:rPr>
          <w:rFonts w:hint="eastAsia"/>
          <w:b/>
          <w:bCs/>
          <w:sz w:val="28"/>
          <w:szCs w:val="28"/>
        </w:rPr>
      </w:pPr>
      <w:r>
        <w:rPr>
          <w:rFonts w:hint="eastAsia"/>
          <w:b/>
          <w:bCs/>
          <w:sz w:val="28"/>
          <w:szCs w:val="28"/>
          <w:lang w:val="en-US" w:eastAsia="zh-CN"/>
        </w:rPr>
        <w:t>5</w:t>
      </w:r>
      <w:r>
        <w:rPr>
          <w:rFonts w:hint="eastAsia"/>
          <w:b/>
          <w:bCs/>
          <w:sz w:val="28"/>
          <w:szCs w:val="28"/>
        </w:rPr>
        <w:t>、其它材料</w:t>
      </w:r>
      <w:bookmarkEnd w:id="353"/>
    </w:p>
    <w:p>
      <w:pPr>
        <w:spacing w:line="360" w:lineRule="auto"/>
        <w:ind w:firstLine="1440" w:firstLineChars="600"/>
        <w:rPr>
          <w:rFonts w:ascii="宋体"/>
          <w:sz w:val="24"/>
          <w:szCs w:val="24"/>
        </w:rPr>
      </w:pPr>
      <w:r>
        <w:rPr>
          <w:rFonts w:hint="eastAsia" w:ascii="宋体" w:hAnsi="宋体" w:cs="宋体"/>
          <w:sz w:val="24"/>
          <w:szCs w:val="24"/>
        </w:rPr>
        <w:t>（供应商根据本项目情况需要提供的其他材料。）</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BF38F"/>
    <w:multiLevelType w:val="singleLevel"/>
    <w:tmpl w:val="BE9BF38F"/>
    <w:lvl w:ilvl="0" w:tentative="0">
      <w:start w:val="1"/>
      <w:numFmt w:val="chineseCounting"/>
      <w:suff w:val="space"/>
      <w:lvlText w:val="第%1章"/>
      <w:lvlJc w:val="left"/>
      <w:rPr>
        <w:rFonts w:hint="eastAsia"/>
      </w:rPr>
    </w:lvl>
  </w:abstractNum>
  <w:abstractNum w:abstractNumId="1">
    <w:nsid w:val="090274D8"/>
    <w:multiLevelType w:val="singleLevel"/>
    <w:tmpl w:val="090274D8"/>
    <w:lvl w:ilvl="0" w:tentative="0">
      <w:start w:val="2"/>
      <w:numFmt w:val="chineseCounting"/>
      <w:suff w:val="nothing"/>
      <w:lvlText w:val="%1、"/>
      <w:lvlJc w:val="left"/>
      <w:rPr>
        <w:rFonts w:hint="eastAsia"/>
      </w:rPr>
    </w:lvl>
  </w:abstractNum>
  <w:abstractNum w:abstractNumId="2">
    <w:nsid w:val="29B9B542"/>
    <w:multiLevelType w:val="multilevel"/>
    <w:tmpl w:val="29B9B542"/>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464869C5"/>
    <w:multiLevelType w:val="singleLevel"/>
    <w:tmpl w:val="464869C5"/>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TE0ZjBkZWZlMDI3NTQzN2RjNWI1NGI0NThjM2IifQ=="/>
  </w:docVars>
  <w:rsids>
    <w:rsidRoot w:val="72692E45"/>
    <w:rsid w:val="0B9644AC"/>
    <w:rsid w:val="15B029A2"/>
    <w:rsid w:val="19B00FE7"/>
    <w:rsid w:val="1DDE39DB"/>
    <w:rsid w:val="206107E5"/>
    <w:rsid w:val="24FD22CD"/>
    <w:rsid w:val="38F90C74"/>
    <w:rsid w:val="3CAF2A1A"/>
    <w:rsid w:val="41A62469"/>
    <w:rsid w:val="42211DF6"/>
    <w:rsid w:val="5BAC7DC1"/>
    <w:rsid w:val="5C394F1F"/>
    <w:rsid w:val="5DFE246D"/>
    <w:rsid w:val="5E7F0677"/>
    <w:rsid w:val="5FD95106"/>
    <w:rsid w:val="72692E45"/>
    <w:rsid w:val="7C3D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1"/>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200" w:firstLineChars="200"/>
    </w:pPr>
  </w:style>
  <w:style w:type="paragraph" w:styleId="6">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7">
    <w:name w:val="Body Text Indent"/>
    <w:basedOn w:val="1"/>
    <w:next w:val="8"/>
    <w:qFormat/>
    <w:uiPriority w:val="0"/>
    <w:pPr>
      <w:spacing w:after="120"/>
      <w:ind w:left="200" w:leftChars="200"/>
    </w:pPr>
    <w:rPr>
      <w:szCs w:val="24"/>
    </w:rPr>
  </w:style>
  <w:style w:type="paragraph" w:styleId="8">
    <w:name w:val="envelope return"/>
    <w:basedOn w:val="1"/>
    <w:qFormat/>
    <w:uiPriority w:val="0"/>
    <w:pPr>
      <w:snapToGrid w:val="0"/>
    </w:pPr>
    <w:rPr>
      <w:rFonts w:ascii="Arial" w:hAnsi="Arial"/>
    </w:rPr>
  </w:style>
  <w:style w:type="paragraph" w:styleId="9">
    <w:name w:val="Plain Text"/>
    <w:basedOn w:val="1"/>
    <w:unhideWhenUsed/>
    <w:qFormat/>
    <w:uiPriority w:val="0"/>
    <w:rPr>
      <w:rFonts w:ascii="宋体" w:hAnsi="Courier New" w:eastAsia="宋体" w:cs="Times New Roman"/>
    </w:rPr>
  </w:style>
  <w:style w:type="paragraph" w:styleId="10">
    <w:name w:val="Body Text Indent 2"/>
    <w:basedOn w:val="1"/>
    <w:qFormat/>
    <w:uiPriority w:val="0"/>
    <w:pPr>
      <w:spacing w:after="120" w:line="480" w:lineRule="auto"/>
      <w:ind w:left="20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296"/>
      </w:tabs>
      <w:jc w:val="center"/>
    </w:pPr>
    <w:rPr>
      <w:rFonts w:eastAsia="宋体" w:cs="Times New Roman"/>
    </w:rPr>
  </w:style>
  <w:style w:type="paragraph" w:styleId="14">
    <w:name w:val="Title"/>
    <w:basedOn w:val="1"/>
    <w:qFormat/>
    <w:uiPriority w:val="0"/>
    <w:pPr>
      <w:spacing w:before="240" w:after="60"/>
      <w:jc w:val="center"/>
      <w:outlineLvl w:val="0"/>
    </w:pPr>
    <w:rPr>
      <w:rFonts w:ascii="Arial" w:hAnsi="Arial" w:cs="Arial"/>
      <w:b/>
      <w:bCs/>
      <w:sz w:val="32"/>
      <w:szCs w:val="32"/>
    </w:rPr>
  </w:style>
  <w:style w:type="paragraph" w:styleId="15">
    <w:name w:val="Body Text First Indent 2"/>
    <w:basedOn w:val="7"/>
    <w:qFormat/>
    <w:uiPriority w:val="0"/>
    <w:pPr>
      <w:ind w:left="420" w:firstLine="420" w:firstLineChars="200"/>
    </w:pPr>
    <w:rPr>
      <w:rFonts w:ascii="Times New Roman" w:eastAsia="宋?"/>
    </w:rPr>
  </w:style>
  <w:style w:type="character" w:customStyle="1" w:styleId="18">
    <w:name w:val="标题 1 Char"/>
    <w:link w:val="2"/>
    <w:autoRedefine/>
    <w:qFormat/>
    <w:uiPriority w:val="99"/>
    <w:rPr>
      <w:b/>
      <w:kern w:val="44"/>
      <w:sz w:val="44"/>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20">
    <w:name w:val="font11"/>
    <w:basedOn w:val="17"/>
    <w:qFormat/>
    <w:uiPriority w:val="0"/>
    <w:rPr>
      <w:rFonts w:hint="eastAsia" w:ascii="宋体" w:hAnsi="宋体" w:eastAsia="宋体" w:cs="宋体"/>
      <w:color w:val="FF0000"/>
      <w:sz w:val="24"/>
      <w:szCs w:val="24"/>
      <w:u w:val="none"/>
    </w:rPr>
  </w:style>
  <w:style w:type="paragraph" w:customStyle="1" w:styleId="21">
    <w:name w:val="p15"/>
    <w:basedOn w:val="1"/>
    <w:autoRedefine/>
    <w:qFormat/>
    <w:uiPriority w:val="99"/>
    <w:pPr>
      <w:widowControl/>
    </w:pPr>
    <w:rPr>
      <w:kern w:val="0"/>
    </w:rPr>
  </w:style>
  <w:style w:type="paragraph" w:customStyle="1" w:styleId="22">
    <w:name w:val="Salutation1"/>
    <w:basedOn w:val="1"/>
    <w:next w:val="1"/>
    <w:autoRedefine/>
    <w:qFormat/>
    <w:uiPriority w:val="99"/>
    <w:rPr>
      <w:rFonts w:ascii="??_GB2312" w:eastAsia="Times New Roman" w:cs="??_GB2312"/>
      <w:sz w:val="20"/>
      <w:szCs w:val="20"/>
    </w:rPr>
  </w:style>
  <w:style w:type="character" w:customStyle="1" w:styleId="23">
    <w:name w:val="font51"/>
    <w:basedOn w:val="17"/>
    <w:qFormat/>
    <w:uiPriority w:val="0"/>
    <w:rPr>
      <w:rFonts w:hint="eastAsia" w:ascii="微软雅黑" w:hAnsi="微软雅黑" w:eastAsia="微软雅黑" w:cs="微软雅黑"/>
      <w:color w:val="00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sectRole val="2"/>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12131</Words>
  <Characters>12744</Characters>
  <Lines>0</Lines>
  <Paragraphs>0</Paragraphs>
  <TotalTime>2</TotalTime>
  <ScaleCrop>false</ScaleCrop>
  <LinksUpToDate>false</LinksUpToDate>
  <CharactersWithSpaces>13513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2024-10-10T07:51:00Z</dcterms:created>
  <dc:creator>肖先生</dc:creator>
  <cp:lastModifiedBy>雨</cp:lastModifiedBy>
  <cp:lastPrinted>2024-10-23T09:03:25Z</cp:lastPrinted>
  <dcterms:modified xsi:type="dcterms:W3CDTF">2024-10-23T09:03:36Z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96E0DECD20F0423DB4942A2C10F440F0_13</vt:lpwstr>
  </property>
</Properties>
</file>